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56FC3DB">
      <w:pPr>
        <w:spacing w:line="360" w:lineRule="auto"/>
        <w:ind w:firstLine="640" w:firstLineChars="200"/>
        <w:jc w:val="center"/>
        <w:rPr>
          <w:rFonts w:ascii="Times New Roman" w:hAnsi="Times New Roman" w:eastAsia="黑体" w:cs="Times New Roman"/>
          <w:sz w:val="32"/>
          <w:szCs w:val="32"/>
        </w:rPr>
      </w:pPr>
      <w:r>
        <w:rPr>
          <w:rFonts w:ascii="Times New Roman" w:hAnsi="Times New Roman" w:eastAsia="黑体" w:cs="Times New Roman"/>
          <w:sz w:val="32"/>
          <w:szCs w:val="32"/>
        </w:rPr>
        <w:t>华南农业大学202</w:t>
      </w:r>
      <w:r>
        <w:rPr>
          <w:rFonts w:hint="eastAsia" w:ascii="Times New Roman" w:hAnsi="Times New Roman" w:eastAsia="黑体" w:cs="Times New Roman"/>
          <w:sz w:val="32"/>
          <w:szCs w:val="32"/>
          <w:lang w:val="en-US" w:eastAsia="zh-CN"/>
        </w:rPr>
        <w:t>6</w:t>
      </w:r>
      <w:r>
        <w:rPr>
          <w:rFonts w:ascii="Times New Roman" w:hAnsi="Times New Roman" w:eastAsia="黑体" w:cs="Times New Roman"/>
          <w:sz w:val="32"/>
          <w:szCs w:val="32"/>
        </w:rPr>
        <w:t>年硕士研究生入学</w:t>
      </w:r>
    </w:p>
    <w:p w14:paraId="6BB9931B">
      <w:pPr>
        <w:spacing w:line="360" w:lineRule="auto"/>
        <w:ind w:firstLine="640" w:firstLineChars="200"/>
        <w:jc w:val="center"/>
        <w:rPr>
          <w:rFonts w:ascii="Times New Roman" w:hAnsi="Times New Roman" w:eastAsia="黑体" w:cs="Times New Roman"/>
          <w:sz w:val="32"/>
          <w:szCs w:val="32"/>
        </w:rPr>
      </w:pPr>
      <w:r>
        <w:rPr>
          <w:rFonts w:ascii="Times New Roman" w:hAnsi="Times New Roman" w:eastAsia="黑体" w:cs="Times New Roman"/>
          <w:sz w:val="32"/>
          <w:szCs w:val="32"/>
        </w:rPr>
        <w:t>《农业知识综合二（340）》考试大纲</w:t>
      </w:r>
    </w:p>
    <w:tbl>
      <w:tblPr>
        <w:tblStyle w:val="16"/>
        <w:tblW w:w="9254" w:type="dxa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autofit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1863"/>
        <w:gridCol w:w="3926"/>
        <w:gridCol w:w="2684"/>
        <w:gridCol w:w="781"/>
      </w:tblGrid>
      <w:tr w14:paraId="5997984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jc w:val="center"/>
        </w:trPr>
        <w:tc>
          <w:tcPr>
            <w:tcW w:w="1863" w:type="dxa"/>
            <w:tcBorders>
              <w:top w:val="single" w:color="000000" w:sz="12" w:space="0"/>
              <w:left w:val="single" w:color="000000" w:sz="12" w:space="0"/>
              <w:right w:val="single" w:color="000000" w:sz="6" w:space="0"/>
            </w:tcBorders>
            <w:shd w:val="clear" w:color="auto" w:fill="auto"/>
            <w:tcMar>
              <w:left w:w="200" w:type="dxa"/>
              <w:right w:w="160" w:type="dxa"/>
            </w:tcMar>
            <w:vAlign w:val="center"/>
          </w:tcPr>
          <w:p w14:paraId="01FCF5FC">
            <w:pPr>
              <w:keepNext w:val="0"/>
              <w:keepLines w:val="0"/>
              <w:widowControl/>
              <w:suppressLineNumbers w:val="0"/>
              <w:spacing w:line="375" w:lineRule="atLeast"/>
              <w:jc w:val="center"/>
              <w:rPr>
                <w:rFonts w:hint="default" w:ascii="Verdana" w:hAnsi="Verdana" w:cs="Verdana"/>
                <w:sz w:val="18"/>
                <w:szCs w:val="18"/>
              </w:rPr>
            </w:pPr>
            <w:r>
              <w:rPr>
                <w:rStyle w:val="18"/>
                <w:rFonts w:hint="default" w:ascii="Verdana" w:hAnsi="Verdana" w:eastAsia="宋体" w:cs="Verdana"/>
                <w:kern w:val="0"/>
                <w:sz w:val="18"/>
                <w:szCs w:val="18"/>
                <w:lang w:val="en-US" w:eastAsia="zh-CN" w:bidi="ar"/>
              </w:rPr>
              <w:t>命题方式</w:t>
            </w:r>
          </w:p>
        </w:tc>
        <w:tc>
          <w:tcPr>
            <w:tcW w:w="3926" w:type="dxa"/>
            <w:tcBorders>
              <w:top w:val="single" w:color="000000" w:sz="12" w:space="0"/>
              <w:right w:val="single" w:color="000000" w:sz="6" w:space="0"/>
            </w:tcBorders>
            <w:shd w:val="clear" w:color="auto" w:fill="auto"/>
            <w:tcMar>
              <w:left w:w="200" w:type="dxa"/>
              <w:right w:w="160" w:type="dxa"/>
            </w:tcMar>
            <w:vAlign w:val="center"/>
          </w:tcPr>
          <w:p w14:paraId="097E5224">
            <w:pPr>
              <w:keepNext w:val="0"/>
              <w:keepLines w:val="0"/>
              <w:widowControl/>
              <w:suppressLineNumbers w:val="0"/>
              <w:spacing w:line="375" w:lineRule="atLeast"/>
              <w:jc w:val="left"/>
              <w:rPr>
                <w:rFonts w:hint="default" w:ascii="Verdana" w:hAnsi="Verdana" w:cs="Verdana"/>
                <w:sz w:val="18"/>
                <w:szCs w:val="18"/>
              </w:rPr>
            </w:pPr>
            <w:r>
              <w:rPr>
                <w:rFonts w:hint="default" w:ascii="Verdana" w:hAnsi="Verdana" w:eastAsia="宋体" w:cs="Verdana"/>
                <w:kern w:val="0"/>
                <w:sz w:val="18"/>
                <w:szCs w:val="18"/>
                <w:lang w:val="en-US" w:eastAsia="zh-CN" w:bidi="ar"/>
              </w:rPr>
              <w:t>招生单位自命题</w:t>
            </w:r>
          </w:p>
        </w:tc>
        <w:tc>
          <w:tcPr>
            <w:tcW w:w="2684" w:type="dxa"/>
            <w:tcBorders>
              <w:top w:val="single" w:color="000000" w:sz="12" w:space="0"/>
              <w:right w:val="single" w:color="000000" w:sz="6" w:space="0"/>
            </w:tcBorders>
            <w:shd w:val="clear" w:color="auto" w:fill="auto"/>
            <w:tcMar>
              <w:left w:w="200" w:type="dxa"/>
              <w:right w:w="160" w:type="dxa"/>
            </w:tcMar>
            <w:vAlign w:val="center"/>
          </w:tcPr>
          <w:p w14:paraId="7C0567C1">
            <w:pPr>
              <w:keepNext w:val="0"/>
              <w:keepLines w:val="0"/>
              <w:widowControl/>
              <w:suppressLineNumbers w:val="0"/>
              <w:spacing w:line="375" w:lineRule="atLeast"/>
              <w:jc w:val="center"/>
              <w:rPr>
                <w:rFonts w:hint="default" w:ascii="Verdana" w:hAnsi="Verdana" w:cs="Verdana"/>
                <w:sz w:val="18"/>
                <w:szCs w:val="18"/>
              </w:rPr>
            </w:pPr>
            <w:r>
              <w:rPr>
                <w:rStyle w:val="18"/>
                <w:rFonts w:hint="default" w:ascii="Verdana" w:hAnsi="Verdana" w:eastAsia="宋体" w:cs="Verdana"/>
                <w:kern w:val="0"/>
                <w:sz w:val="18"/>
                <w:szCs w:val="18"/>
                <w:lang w:val="en-US" w:eastAsia="zh-CN" w:bidi="ar"/>
              </w:rPr>
              <w:t>科目类别</w:t>
            </w:r>
          </w:p>
        </w:tc>
        <w:tc>
          <w:tcPr>
            <w:tcW w:w="781" w:type="dxa"/>
            <w:tcBorders>
              <w:top w:val="single" w:color="000000" w:sz="12" w:space="0"/>
              <w:bottom w:val="single" w:color="000000" w:sz="6" w:space="0"/>
              <w:right w:val="single" w:color="000000" w:sz="12" w:space="0"/>
            </w:tcBorders>
            <w:shd w:val="clear" w:color="auto" w:fill="auto"/>
            <w:tcMar>
              <w:left w:w="200" w:type="dxa"/>
              <w:right w:w="160" w:type="dxa"/>
            </w:tcMar>
            <w:vAlign w:val="center"/>
          </w:tcPr>
          <w:p w14:paraId="71FB60B8">
            <w:pPr>
              <w:keepNext w:val="0"/>
              <w:keepLines w:val="0"/>
              <w:widowControl/>
              <w:suppressLineNumbers w:val="0"/>
              <w:spacing w:line="375" w:lineRule="atLeast"/>
              <w:jc w:val="left"/>
              <w:rPr>
                <w:rFonts w:hint="default" w:ascii="Verdana" w:hAnsi="Verdana" w:cs="Verdana"/>
                <w:sz w:val="18"/>
                <w:szCs w:val="18"/>
              </w:rPr>
            </w:pPr>
            <w:r>
              <w:rPr>
                <w:rFonts w:hint="default" w:ascii="Verdana" w:hAnsi="Verdana" w:eastAsia="宋体" w:cs="Verdana"/>
                <w:kern w:val="0"/>
                <w:sz w:val="18"/>
                <w:szCs w:val="18"/>
                <w:lang w:val="en-US" w:eastAsia="zh-CN" w:bidi="ar"/>
              </w:rPr>
              <w:t>初试</w:t>
            </w:r>
          </w:p>
        </w:tc>
      </w:tr>
      <w:tr w14:paraId="3628F38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40" w:hRule="atLeast"/>
          <w:jc w:val="center"/>
        </w:trPr>
        <w:tc>
          <w:tcPr>
            <w:tcW w:w="1863" w:type="dxa"/>
            <w:tcBorders>
              <w:top w:val="single" w:color="000000" w:sz="6" w:space="0"/>
              <w:left w:val="single" w:color="000000" w:sz="12" w:space="0"/>
              <w:bottom w:val="single" w:color="auto" w:sz="4" w:space="0"/>
              <w:right w:val="single" w:color="000000" w:sz="6" w:space="0"/>
            </w:tcBorders>
            <w:shd w:val="clear" w:color="auto" w:fill="auto"/>
            <w:tcMar>
              <w:left w:w="200" w:type="dxa"/>
              <w:right w:w="160" w:type="dxa"/>
            </w:tcMar>
            <w:vAlign w:val="center"/>
          </w:tcPr>
          <w:p w14:paraId="32C8A129">
            <w:pPr>
              <w:keepNext w:val="0"/>
              <w:keepLines w:val="0"/>
              <w:widowControl/>
              <w:suppressLineNumbers w:val="0"/>
              <w:spacing w:line="375" w:lineRule="atLeast"/>
              <w:jc w:val="center"/>
              <w:rPr>
                <w:rFonts w:hint="default" w:ascii="Verdana" w:hAnsi="Verdana" w:cs="Verdana"/>
                <w:sz w:val="18"/>
                <w:szCs w:val="18"/>
              </w:rPr>
            </w:pPr>
            <w:r>
              <w:rPr>
                <w:rStyle w:val="18"/>
                <w:rFonts w:hint="default" w:ascii="Verdana" w:hAnsi="Verdana" w:eastAsia="宋体" w:cs="Verdana"/>
                <w:kern w:val="0"/>
                <w:sz w:val="18"/>
                <w:szCs w:val="18"/>
                <w:lang w:val="en-US" w:eastAsia="zh-CN" w:bidi="ar"/>
              </w:rPr>
              <w:t>满分</w:t>
            </w:r>
          </w:p>
        </w:tc>
        <w:tc>
          <w:tcPr>
            <w:tcW w:w="7391" w:type="dxa"/>
            <w:gridSpan w:val="3"/>
            <w:tcBorders>
              <w:top w:val="single" w:color="000000" w:sz="6" w:space="0"/>
              <w:bottom w:val="single" w:color="auto" w:sz="4" w:space="0"/>
              <w:right w:val="single" w:color="000000" w:sz="12" w:space="0"/>
            </w:tcBorders>
            <w:shd w:val="clear" w:color="auto" w:fill="auto"/>
            <w:tcMar>
              <w:left w:w="200" w:type="dxa"/>
              <w:right w:w="160" w:type="dxa"/>
            </w:tcMar>
            <w:vAlign w:val="center"/>
          </w:tcPr>
          <w:p w14:paraId="3CEE7F3A">
            <w:pPr>
              <w:keepNext w:val="0"/>
              <w:keepLines w:val="0"/>
              <w:widowControl/>
              <w:suppressLineNumbers w:val="0"/>
              <w:spacing w:line="375" w:lineRule="atLeast"/>
              <w:jc w:val="left"/>
              <w:rPr>
                <w:rFonts w:hint="default" w:ascii="Verdana" w:hAnsi="Verdana" w:cs="Verdana"/>
                <w:sz w:val="18"/>
                <w:szCs w:val="18"/>
              </w:rPr>
            </w:pPr>
            <w:r>
              <w:rPr>
                <w:rFonts w:hint="default" w:ascii="Verdana" w:hAnsi="Verdana" w:eastAsia="宋体" w:cs="Verdana"/>
                <w:kern w:val="0"/>
                <w:sz w:val="18"/>
                <w:szCs w:val="18"/>
                <w:lang w:val="en-US" w:eastAsia="zh-CN" w:bidi="ar"/>
              </w:rPr>
              <w:t>150</w:t>
            </w:r>
          </w:p>
        </w:tc>
      </w:tr>
      <w:tr w14:paraId="2CDF380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jc w:val="center"/>
        </w:trPr>
        <w:tc>
          <w:tcPr>
            <w:tcW w:w="9254" w:type="dxa"/>
            <w:gridSpan w:val="4"/>
            <w:tcBorders>
              <w:top w:val="single" w:color="auto" w:sz="4" w:space="0"/>
              <w:left w:val="single" w:color="000000" w:sz="12" w:space="0"/>
              <w:bottom w:val="single" w:color="000000" w:sz="6" w:space="0"/>
              <w:right w:val="single" w:color="000000" w:sz="12" w:space="0"/>
            </w:tcBorders>
            <w:shd w:val="clear" w:color="auto" w:fill="auto"/>
            <w:tcMar>
              <w:left w:w="200" w:type="dxa"/>
              <w:right w:w="160" w:type="dxa"/>
            </w:tcMar>
            <w:vAlign w:val="top"/>
          </w:tcPr>
          <w:p w14:paraId="570E7379">
            <w:pPr>
              <w:pStyle w:val="14"/>
              <w:keepNext w:val="0"/>
              <w:keepLines w:val="0"/>
              <w:widowControl/>
              <w:suppressLineNumbers w:val="0"/>
              <w:spacing w:line="375" w:lineRule="atLeast"/>
              <w:jc w:val="left"/>
              <w:rPr>
                <w:rFonts w:hint="default" w:ascii="Verdana" w:hAnsi="Verdana" w:cs="Verdana"/>
                <w:sz w:val="18"/>
                <w:szCs w:val="18"/>
              </w:rPr>
            </w:pPr>
            <w:r>
              <w:rPr>
                <w:rStyle w:val="18"/>
                <w:rFonts w:hint="default" w:ascii="Verdana" w:hAnsi="Verdana" w:cs="Verdana"/>
                <w:sz w:val="18"/>
                <w:szCs w:val="18"/>
              </w:rPr>
              <w:t>考试内容和考试要求</w:t>
            </w:r>
          </w:p>
          <w:p w14:paraId="2FF077DD">
            <w:pPr>
              <w:spacing w:line="360" w:lineRule="auto"/>
              <w:ind w:firstLine="360" w:firstLineChars="200"/>
              <w:rPr>
                <w:rFonts w:ascii="Times New Roman" w:hAnsi="Times New Roman" w:eastAsia="黑体" w:cs="Times New Roman"/>
                <w:sz w:val="18"/>
                <w:szCs w:val="18"/>
              </w:rPr>
            </w:pPr>
            <w:r>
              <w:rPr>
                <w:rFonts w:ascii="Times New Roman" w:hAnsi="Times New Roman" w:eastAsia="黑体" w:cs="Times New Roman"/>
                <w:sz w:val="18"/>
                <w:szCs w:val="18"/>
              </w:rPr>
              <w:t>一、考查目标</w:t>
            </w:r>
          </w:p>
          <w:p w14:paraId="7F593546">
            <w:pPr>
              <w:spacing w:line="360" w:lineRule="auto"/>
              <w:ind w:firstLine="360" w:firstLineChars="200"/>
              <w:rPr>
                <w:rFonts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sz w:val="18"/>
                <w:szCs w:val="18"/>
              </w:rPr>
              <w:t>《农业知识综合二》侧重于动物生产类综合知识的考查。考试内容应主要涵盖动物遗传学、动物营养学与饲料学、动物繁殖学等课程。要求考生认识生命活动的基本规律，理解和掌握相关基础知识、基本理论和基本方法，能够分析、判断和解决有关实际问题。</w:t>
            </w:r>
          </w:p>
          <w:p w14:paraId="40001F5A">
            <w:pPr>
              <w:spacing w:line="360" w:lineRule="auto"/>
              <w:ind w:firstLine="360" w:firstLineChars="200"/>
              <w:rPr>
                <w:rFonts w:ascii="Times New Roman" w:hAnsi="Times New Roman" w:eastAsia="宋体" w:cs="Times New Roman"/>
                <w:sz w:val="18"/>
                <w:szCs w:val="18"/>
              </w:rPr>
            </w:pPr>
          </w:p>
          <w:p w14:paraId="329F752D">
            <w:pPr>
              <w:spacing w:line="360" w:lineRule="auto"/>
              <w:ind w:firstLine="360" w:firstLineChars="200"/>
              <w:rPr>
                <w:rFonts w:ascii="Times New Roman" w:hAnsi="Times New Roman" w:eastAsia="黑体" w:cs="Times New Roman"/>
                <w:sz w:val="18"/>
                <w:szCs w:val="18"/>
              </w:rPr>
            </w:pPr>
            <w:r>
              <w:rPr>
                <w:rFonts w:ascii="Times New Roman" w:hAnsi="Times New Roman" w:eastAsia="黑体" w:cs="Times New Roman"/>
                <w:sz w:val="18"/>
                <w:szCs w:val="18"/>
              </w:rPr>
              <w:t>二、适用范围</w:t>
            </w:r>
          </w:p>
          <w:p w14:paraId="01CA93F0">
            <w:pPr>
              <w:spacing w:line="360" w:lineRule="auto"/>
              <w:ind w:firstLine="360" w:firstLineChars="200"/>
              <w:rPr>
                <w:rFonts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sz w:val="18"/>
                <w:szCs w:val="18"/>
              </w:rPr>
              <w:t>适用于畜牧和渔业发展领域的考生。</w:t>
            </w:r>
          </w:p>
          <w:p w14:paraId="7C37461E">
            <w:pPr>
              <w:spacing w:line="360" w:lineRule="auto"/>
              <w:ind w:firstLine="360" w:firstLineChars="200"/>
              <w:rPr>
                <w:rFonts w:ascii="Times New Roman" w:hAnsi="Times New Roman" w:eastAsia="宋体" w:cs="Times New Roman"/>
                <w:sz w:val="18"/>
                <w:szCs w:val="18"/>
              </w:rPr>
            </w:pPr>
          </w:p>
          <w:p w14:paraId="2FC4F302">
            <w:pPr>
              <w:spacing w:line="360" w:lineRule="auto"/>
              <w:ind w:firstLine="360" w:firstLineChars="200"/>
              <w:rPr>
                <w:rFonts w:ascii="Times New Roman" w:hAnsi="Times New Roman" w:eastAsia="黑体" w:cs="Times New Roman"/>
                <w:sz w:val="18"/>
                <w:szCs w:val="18"/>
              </w:rPr>
            </w:pPr>
            <w:r>
              <w:rPr>
                <w:rFonts w:ascii="Times New Roman" w:hAnsi="Times New Roman" w:eastAsia="黑体" w:cs="Times New Roman"/>
                <w:sz w:val="18"/>
                <w:szCs w:val="18"/>
              </w:rPr>
              <w:t>三、考试形式和试卷结构</w:t>
            </w:r>
          </w:p>
          <w:p w14:paraId="4977AF07">
            <w:pPr>
              <w:spacing w:line="360" w:lineRule="auto"/>
              <w:ind w:firstLine="360" w:firstLineChars="200"/>
              <w:rPr>
                <w:rFonts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sz w:val="18"/>
                <w:szCs w:val="18"/>
              </w:rPr>
              <w:t>1 、试卷满分及考试时间</w:t>
            </w:r>
          </w:p>
          <w:p w14:paraId="62C6334F">
            <w:pPr>
              <w:spacing w:line="360" w:lineRule="auto"/>
              <w:ind w:firstLine="360" w:firstLineChars="200"/>
              <w:rPr>
                <w:rFonts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sz w:val="18"/>
                <w:szCs w:val="18"/>
              </w:rPr>
              <w:t>本试卷满分为 150 分，考试时间为</w:t>
            </w:r>
            <w:r>
              <w:rPr>
                <w:rFonts w:hint="eastAsia" w:ascii="Times New Roman" w:hAnsi="Times New Roman" w:eastAsia="宋体" w:cs="Times New Roman"/>
                <w:sz w:val="18"/>
                <w:szCs w:val="18"/>
                <w:lang w:val="en-US" w:eastAsia="zh-CN"/>
              </w:rPr>
              <w:t>3小时</w:t>
            </w:r>
            <w:r>
              <w:rPr>
                <w:rFonts w:ascii="Times New Roman" w:hAnsi="Times New Roman" w:eastAsia="宋体" w:cs="Times New Roman"/>
                <w:sz w:val="18"/>
                <w:szCs w:val="18"/>
              </w:rPr>
              <w:t>。</w:t>
            </w:r>
          </w:p>
          <w:p w14:paraId="493AE4E6">
            <w:pPr>
              <w:spacing w:line="360" w:lineRule="auto"/>
              <w:ind w:firstLine="360" w:firstLineChars="200"/>
              <w:rPr>
                <w:rFonts w:ascii="Times New Roman" w:hAnsi="Times New Roman" w:eastAsia="宋体" w:cs="Times New Roman"/>
                <w:sz w:val="18"/>
                <w:szCs w:val="18"/>
              </w:rPr>
            </w:pPr>
          </w:p>
          <w:p w14:paraId="58D71EAE">
            <w:pPr>
              <w:spacing w:line="360" w:lineRule="auto"/>
              <w:ind w:firstLine="360" w:firstLineChars="200"/>
              <w:rPr>
                <w:rFonts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sz w:val="18"/>
                <w:szCs w:val="18"/>
              </w:rPr>
              <w:t>2 、 答题方式</w:t>
            </w:r>
          </w:p>
          <w:p w14:paraId="711E5A06">
            <w:pPr>
              <w:spacing w:line="360" w:lineRule="auto"/>
              <w:ind w:firstLine="360" w:firstLineChars="200"/>
              <w:rPr>
                <w:rFonts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sz w:val="18"/>
                <w:szCs w:val="18"/>
              </w:rPr>
              <w:t>闭卷、笔试。</w:t>
            </w:r>
          </w:p>
          <w:p w14:paraId="59155FA0">
            <w:pPr>
              <w:spacing w:line="360" w:lineRule="auto"/>
              <w:ind w:firstLine="360" w:firstLineChars="200"/>
              <w:rPr>
                <w:rFonts w:ascii="Times New Roman" w:hAnsi="Times New Roman" w:eastAsia="宋体" w:cs="Times New Roman"/>
                <w:sz w:val="18"/>
                <w:szCs w:val="18"/>
              </w:rPr>
            </w:pPr>
          </w:p>
          <w:p w14:paraId="3DB1F9FD">
            <w:pPr>
              <w:spacing w:line="360" w:lineRule="auto"/>
              <w:ind w:firstLine="360" w:firstLineChars="200"/>
              <w:rPr>
                <w:rFonts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sz w:val="18"/>
                <w:szCs w:val="18"/>
              </w:rPr>
              <w:t>3 、试卷内容结构</w:t>
            </w:r>
          </w:p>
          <w:p w14:paraId="1E81E276">
            <w:pPr>
              <w:spacing w:line="360" w:lineRule="auto"/>
              <w:ind w:firstLine="360" w:firstLineChars="200"/>
              <w:rPr>
                <w:rFonts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sz w:val="18"/>
                <w:szCs w:val="18"/>
              </w:rPr>
              <w:t>动物遗传学、动物营养学与饲料学、动物繁殖学等三门课程命制试卷，每个科目的内容各占 50 分。</w:t>
            </w:r>
          </w:p>
          <w:p w14:paraId="05EF03B7">
            <w:pPr>
              <w:spacing w:line="360" w:lineRule="auto"/>
              <w:ind w:firstLine="360" w:firstLineChars="200"/>
              <w:rPr>
                <w:rFonts w:ascii="Times New Roman" w:hAnsi="Times New Roman" w:eastAsia="宋体" w:cs="Times New Roman"/>
                <w:sz w:val="18"/>
                <w:szCs w:val="18"/>
              </w:rPr>
            </w:pPr>
          </w:p>
          <w:p w14:paraId="3364553A">
            <w:pPr>
              <w:spacing w:line="360" w:lineRule="auto"/>
              <w:ind w:firstLine="360" w:firstLineChars="200"/>
              <w:rPr>
                <w:rFonts w:ascii="Times New Roman" w:hAnsi="Times New Roman" w:eastAsia="宋体" w:cs="Times New Roman"/>
                <w:sz w:val="18"/>
                <w:szCs w:val="18"/>
              </w:rPr>
            </w:pPr>
          </w:p>
          <w:p w14:paraId="6AD05B1C">
            <w:pPr>
              <w:spacing w:line="360" w:lineRule="auto"/>
              <w:ind w:firstLine="440" w:firstLineChars="200"/>
              <w:rPr>
                <w:rFonts w:ascii="Times New Roman" w:hAnsi="Times New Roman" w:eastAsia="黑体" w:cs="Times New Roman"/>
                <w:sz w:val="22"/>
                <w:szCs w:val="22"/>
              </w:rPr>
            </w:pPr>
            <w:bookmarkStart w:id="0" w:name="OLE_LINK1"/>
            <w:r>
              <w:rPr>
                <w:rFonts w:ascii="Times New Roman" w:hAnsi="Times New Roman" w:eastAsia="黑体" w:cs="Times New Roman"/>
                <w:sz w:val="22"/>
                <w:szCs w:val="22"/>
              </w:rPr>
              <w:t>动物遗传学（50分）</w:t>
            </w:r>
          </w:p>
          <w:p w14:paraId="7CA15A89">
            <w:pPr>
              <w:spacing w:line="360" w:lineRule="auto"/>
              <w:ind w:firstLine="360" w:firstLineChars="200"/>
              <w:rPr>
                <w:rFonts w:ascii="Times New Roman" w:hAnsi="Times New Roman" w:eastAsia="黑体" w:cs="Times New Roman"/>
                <w:sz w:val="18"/>
                <w:szCs w:val="18"/>
              </w:rPr>
            </w:pPr>
            <w:r>
              <w:rPr>
                <w:rFonts w:ascii="Times New Roman" w:hAnsi="Times New Roman" w:eastAsia="黑体" w:cs="Times New Roman"/>
                <w:sz w:val="18"/>
                <w:szCs w:val="18"/>
              </w:rPr>
              <w:t>第一部分：参考书目：</w:t>
            </w:r>
          </w:p>
          <w:p w14:paraId="1C9FF5CF">
            <w:pPr>
              <w:spacing w:line="360" w:lineRule="auto"/>
              <w:ind w:firstLine="360" w:firstLineChars="200"/>
              <w:rPr>
                <w:rFonts w:hint="eastAsia"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sz w:val="18"/>
                <w:szCs w:val="18"/>
              </w:rPr>
              <w:t>《动物遗传学》（第二版），吴常信主编，高等教育出版社，2016年出版</w:t>
            </w:r>
          </w:p>
          <w:p w14:paraId="1428E56B">
            <w:pPr>
              <w:spacing w:line="360" w:lineRule="auto"/>
              <w:ind w:firstLine="360" w:firstLineChars="200"/>
              <w:rPr>
                <w:rFonts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sz w:val="18"/>
                <w:szCs w:val="18"/>
              </w:rPr>
              <w:t>《动物遗传学》（第三版），李碧春主编，中国农业出版社，2016年出版</w:t>
            </w:r>
          </w:p>
          <w:p w14:paraId="7EE55726">
            <w:pPr>
              <w:spacing w:line="360" w:lineRule="auto"/>
              <w:ind w:firstLine="360" w:firstLineChars="200"/>
              <w:rPr>
                <w:rFonts w:ascii="Times New Roman" w:hAnsi="Times New Roman" w:eastAsia="黑体" w:cs="Times New Roman"/>
                <w:sz w:val="18"/>
                <w:szCs w:val="18"/>
              </w:rPr>
            </w:pPr>
            <w:r>
              <w:rPr>
                <w:rFonts w:ascii="Times New Roman" w:hAnsi="Times New Roman" w:eastAsia="黑体" w:cs="Times New Roman"/>
                <w:sz w:val="18"/>
                <w:szCs w:val="18"/>
              </w:rPr>
              <w:t>第二部分：主要内容</w:t>
            </w:r>
          </w:p>
          <w:p w14:paraId="7C4B73CF">
            <w:pPr>
              <w:spacing w:line="360" w:lineRule="auto"/>
              <w:ind w:firstLine="360" w:firstLineChars="200"/>
              <w:rPr>
                <w:rFonts w:hint="eastAsia"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sz w:val="18"/>
                <w:szCs w:val="18"/>
              </w:rPr>
              <w:t>第一章  绪  论（约2分）</w:t>
            </w:r>
          </w:p>
          <w:p w14:paraId="22C0636A">
            <w:pPr>
              <w:spacing w:line="360" w:lineRule="auto"/>
              <w:ind w:firstLine="360" w:firstLineChars="200"/>
              <w:rPr>
                <w:rFonts w:hint="eastAsia"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sz w:val="18"/>
                <w:szCs w:val="18"/>
              </w:rPr>
              <w:t>重点掌握遗传学的基本概念，遗传与变异的概念以及相互关系，遗传学的发展及应用。</w:t>
            </w:r>
          </w:p>
          <w:p w14:paraId="18FB9D29">
            <w:pPr>
              <w:spacing w:line="360" w:lineRule="auto"/>
              <w:ind w:firstLine="360" w:firstLineChars="200"/>
              <w:rPr>
                <w:rFonts w:hint="eastAsia"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sz w:val="18"/>
                <w:szCs w:val="18"/>
              </w:rPr>
              <w:t>第二章  遗传的物质基础（约5分）</w:t>
            </w:r>
          </w:p>
          <w:p w14:paraId="53395FCF">
            <w:pPr>
              <w:spacing w:line="360" w:lineRule="auto"/>
              <w:ind w:firstLine="360" w:firstLineChars="200"/>
              <w:rPr>
                <w:rFonts w:hint="eastAsia"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sz w:val="18"/>
                <w:szCs w:val="18"/>
              </w:rPr>
              <w:t>了解DNA的分子结构；掌握染色体的结构、组成、主要畜禽的染色体数；了解减数分裂及有丝分裂过程中染色体的行为；了解基因的一般结构特征和真核生物基因组的特点。</w:t>
            </w:r>
          </w:p>
          <w:p w14:paraId="4F97EE78">
            <w:pPr>
              <w:spacing w:line="360" w:lineRule="auto"/>
              <w:ind w:firstLine="360" w:firstLineChars="200"/>
              <w:rPr>
                <w:rFonts w:hint="eastAsia"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sz w:val="18"/>
                <w:szCs w:val="18"/>
              </w:rPr>
              <w:t>第三章  遗传信息的传递（约5分）</w:t>
            </w:r>
          </w:p>
          <w:p w14:paraId="5D9D49DC">
            <w:pPr>
              <w:spacing w:line="360" w:lineRule="auto"/>
              <w:ind w:firstLine="360" w:firstLineChars="200"/>
              <w:rPr>
                <w:rFonts w:hint="eastAsia"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sz w:val="18"/>
                <w:szCs w:val="18"/>
              </w:rPr>
              <w:t>掌握DNA的复制、转录与翻译过程；掌握原核生物与真核生物基因表达调控的基本原理；了解中心法则的内容及其扩展。</w:t>
            </w:r>
          </w:p>
          <w:p w14:paraId="54C664C5">
            <w:pPr>
              <w:spacing w:line="360" w:lineRule="auto"/>
              <w:ind w:firstLine="360" w:firstLineChars="200"/>
              <w:rPr>
                <w:rFonts w:hint="eastAsia"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sz w:val="18"/>
                <w:szCs w:val="18"/>
              </w:rPr>
              <w:t>第四章  遗传信息的改变（约5分）</w:t>
            </w:r>
          </w:p>
          <w:p w14:paraId="3EFE9E58">
            <w:pPr>
              <w:spacing w:line="360" w:lineRule="auto"/>
              <w:ind w:firstLine="360" w:firstLineChars="200"/>
              <w:rPr>
                <w:rFonts w:hint="eastAsia"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sz w:val="18"/>
                <w:szCs w:val="18"/>
              </w:rPr>
              <w:t>掌握基因突变的概念、类型及特性；了解染色体结构及数目变异的机制与遗传效应；了解重组与修复的有关概念。</w:t>
            </w:r>
          </w:p>
          <w:p w14:paraId="627CDB6D">
            <w:pPr>
              <w:spacing w:line="360" w:lineRule="auto"/>
              <w:ind w:firstLine="360" w:firstLineChars="200"/>
              <w:rPr>
                <w:rFonts w:hint="eastAsia"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sz w:val="18"/>
                <w:szCs w:val="18"/>
              </w:rPr>
              <w:t>第五章  遗传的基本定律及其扩展（约5分）</w:t>
            </w:r>
          </w:p>
          <w:p w14:paraId="290E2C79">
            <w:pPr>
              <w:spacing w:line="360" w:lineRule="auto"/>
              <w:ind w:firstLine="360" w:firstLineChars="200"/>
              <w:rPr>
                <w:rFonts w:hint="eastAsia"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sz w:val="18"/>
                <w:szCs w:val="18"/>
              </w:rPr>
              <w:t>掌握遗传学的三大定律理论基本论点；了解孟德尔遗传规律的条件性及孟德尔遗传的扩展现象，包括不完全显性、致死基因、复等位基因，基因的互补、上位、重叠，“多因一效”与“一因多效”等遗传现象与遗传规律；掌握性别决定与伴性遗传的基本原理。</w:t>
            </w:r>
          </w:p>
          <w:p w14:paraId="01CFF9B2">
            <w:pPr>
              <w:spacing w:line="360" w:lineRule="auto"/>
              <w:ind w:firstLine="360" w:firstLineChars="200"/>
              <w:rPr>
                <w:rFonts w:hint="eastAsia"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sz w:val="18"/>
                <w:szCs w:val="18"/>
              </w:rPr>
              <w:t>第六章 群体遗传学基础（约5分）</w:t>
            </w:r>
          </w:p>
          <w:p w14:paraId="7A4B9BF5">
            <w:pPr>
              <w:spacing w:line="360" w:lineRule="auto"/>
              <w:ind w:firstLine="360" w:firstLineChars="200"/>
              <w:rPr>
                <w:rFonts w:hint="eastAsia"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sz w:val="18"/>
                <w:szCs w:val="18"/>
              </w:rPr>
              <w:t>了解基因频率、基因型频率等群体遗传学基本概念；掌握哈代-温伯格定律的基本论点及有关证明；掌握基因频率的计算方法；掌握群体基因频率及基因型频率变化的规律。</w:t>
            </w:r>
          </w:p>
          <w:p w14:paraId="64A42180">
            <w:pPr>
              <w:spacing w:line="360" w:lineRule="auto"/>
              <w:ind w:firstLine="360" w:firstLineChars="200"/>
              <w:rPr>
                <w:rFonts w:hint="eastAsia"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sz w:val="18"/>
                <w:szCs w:val="18"/>
              </w:rPr>
              <w:t>第七章 数量性状遗传基础（约3分）</w:t>
            </w:r>
          </w:p>
          <w:p w14:paraId="236949B2">
            <w:pPr>
              <w:spacing w:line="360" w:lineRule="auto"/>
              <w:ind w:firstLine="360" w:firstLineChars="200"/>
              <w:rPr>
                <w:rFonts w:hint="eastAsia"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sz w:val="18"/>
                <w:szCs w:val="18"/>
              </w:rPr>
              <w:t>掌握三个遗传参数(重复率、遗传力、遗传相关)的概念、估算原理与方法、用途；了解数量性状的概念；了解QTL的概念及其定位方法。</w:t>
            </w:r>
          </w:p>
          <w:p w14:paraId="748D046A">
            <w:pPr>
              <w:spacing w:line="360" w:lineRule="auto"/>
              <w:ind w:firstLine="360" w:firstLineChars="200"/>
              <w:rPr>
                <w:rFonts w:hint="eastAsia"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sz w:val="18"/>
                <w:szCs w:val="18"/>
              </w:rPr>
              <w:t>第八章  表观遗传学（约5分）</w:t>
            </w:r>
          </w:p>
          <w:p w14:paraId="23C76412">
            <w:pPr>
              <w:spacing w:line="360" w:lineRule="auto"/>
              <w:ind w:firstLine="360" w:firstLineChars="200"/>
              <w:rPr>
                <w:rFonts w:hint="eastAsia"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sz w:val="18"/>
                <w:szCs w:val="18"/>
              </w:rPr>
              <w:t>掌握表观遗传学的概念及其分类；了解表观遗传学发展历程；掌握DNA甲基化的概念、类型、遗传效应；了解组蛋白修饰、RNA修饰、非编码RNA的作用机理和遗传效应。</w:t>
            </w:r>
          </w:p>
          <w:p w14:paraId="6E7BB1CF">
            <w:pPr>
              <w:spacing w:line="360" w:lineRule="auto"/>
              <w:ind w:firstLine="360" w:firstLineChars="200"/>
              <w:rPr>
                <w:rFonts w:hint="eastAsia"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sz w:val="18"/>
                <w:szCs w:val="18"/>
              </w:rPr>
              <w:t>第九章  动物基因组学基础（约5分）</w:t>
            </w:r>
          </w:p>
          <w:p w14:paraId="08CE8976">
            <w:pPr>
              <w:spacing w:line="360" w:lineRule="auto"/>
              <w:ind w:firstLine="360" w:firstLineChars="200"/>
              <w:rPr>
                <w:rFonts w:hint="eastAsia"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sz w:val="18"/>
                <w:szCs w:val="18"/>
              </w:rPr>
              <w:t>掌握分子遗传标记在动物遗传育种中的应用；了解基因组学的分类及其发展历程；了解基因组学最新的研究进展和发展方向。</w:t>
            </w:r>
          </w:p>
          <w:p w14:paraId="5B446AC3">
            <w:pPr>
              <w:spacing w:line="360" w:lineRule="auto"/>
              <w:ind w:firstLine="360" w:firstLineChars="200"/>
              <w:rPr>
                <w:rFonts w:hint="eastAsia"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sz w:val="18"/>
                <w:szCs w:val="18"/>
              </w:rPr>
              <w:t>第十章  非孟德尔遗传（约5分）</w:t>
            </w:r>
          </w:p>
          <w:p w14:paraId="7B957A5C">
            <w:pPr>
              <w:spacing w:line="360" w:lineRule="auto"/>
              <w:ind w:firstLine="360" w:firstLineChars="200"/>
              <w:rPr>
                <w:rFonts w:hint="eastAsia"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sz w:val="18"/>
                <w:szCs w:val="18"/>
              </w:rPr>
              <w:t>了解线粒体DNA的结构、转录、翻译过程；掌握由核基因控制的母体效应、剂量补偿效应、基因组印迹的概念及原理；了解核外基因的遗传特征。</w:t>
            </w:r>
          </w:p>
          <w:p w14:paraId="5D11CFD4">
            <w:pPr>
              <w:spacing w:line="360" w:lineRule="auto"/>
              <w:ind w:firstLine="360" w:firstLineChars="200"/>
              <w:rPr>
                <w:rFonts w:hint="eastAsia"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sz w:val="18"/>
                <w:szCs w:val="18"/>
              </w:rPr>
              <w:t>第十一章  动物遗传操作（约5分）</w:t>
            </w:r>
          </w:p>
          <w:p w14:paraId="22424F8F">
            <w:pPr>
              <w:spacing w:line="360" w:lineRule="auto"/>
              <w:ind w:firstLine="360" w:firstLineChars="200"/>
              <w:rPr>
                <w:rFonts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sz w:val="18"/>
                <w:szCs w:val="18"/>
              </w:rPr>
              <w:t>掌握基因工程的工具酶、转基因动物的方法、动物的克隆的概念及一般步骤；了解载体的种类及作用机制、基因工程的一般步骤；掌握CRISPR-Cas9基因编辑方法的作用原理。</w:t>
            </w:r>
          </w:p>
          <w:p w14:paraId="42ADBA65">
            <w:pPr>
              <w:spacing w:line="360" w:lineRule="auto"/>
              <w:ind w:firstLine="360" w:firstLineChars="200"/>
              <w:rPr>
                <w:rFonts w:ascii="Times New Roman" w:hAnsi="Times New Roman" w:eastAsia="黑体" w:cs="Times New Roman"/>
                <w:sz w:val="18"/>
                <w:szCs w:val="18"/>
              </w:rPr>
            </w:pPr>
            <w:r>
              <w:rPr>
                <w:rFonts w:ascii="Times New Roman" w:hAnsi="Times New Roman" w:eastAsia="黑体" w:cs="Times New Roman"/>
                <w:sz w:val="18"/>
                <w:szCs w:val="18"/>
              </w:rPr>
              <w:t>第三部分：基本题型</w:t>
            </w:r>
          </w:p>
          <w:p w14:paraId="3CCBE266">
            <w:pPr>
              <w:spacing w:line="360" w:lineRule="auto"/>
              <w:ind w:firstLine="360" w:firstLineChars="200"/>
              <w:rPr>
                <w:rFonts w:hint="eastAsia"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sz w:val="18"/>
                <w:szCs w:val="18"/>
              </w:rPr>
              <w:t>1、名词解释题（约15分）</w:t>
            </w:r>
          </w:p>
          <w:p w14:paraId="1899BB08">
            <w:pPr>
              <w:spacing w:line="360" w:lineRule="auto"/>
              <w:ind w:firstLine="360" w:firstLineChars="200"/>
              <w:rPr>
                <w:rFonts w:hint="eastAsia"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sz w:val="18"/>
                <w:szCs w:val="18"/>
              </w:rPr>
              <w:t>2、简答题（约25分）</w:t>
            </w:r>
          </w:p>
          <w:p w14:paraId="623B928B">
            <w:pPr>
              <w:spacing w:line="360" w:lineRule="auto"/>
              <w:ind w:firstLine="360" w:firstLineChars="200"/>
              <w:rPr>
                <w:rFonts w:hint="eastAsia"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sz w:val="18"/>
                <w:szCs w:val="18"/>
              </w:rPr>
              <w:t>3、论述题（约10分）</w:t>
            </w:r>
          </w:p>
          <w:p w14:paraId="67D8C6FE">
            <w:pPr>
              <w:spacing w:line="360" w:lineRule="auto"/>
              <w:ind w:firstLine="360" w:firstLineChars="200"/>
              <w:rPr>
                <w:rFonts w:hint="eastAsia" w:ascii="Times New Roman" w:hAnsi="Times New Roman" w:eastAsia="宋体" w:cs="Times New Roman"/>
                <w:sz w:val="18"/>
                <w:szCs w:val="18"/>
              </w:rPr>
            </w:pPr>
          </w:p>
          <w:p w14:paraId="04832B5C">
            <w:pPr>
              <w:spacing w:line="360" w:lineRule="auto"/>
              <w:ind w:firstLine="360" w:firstLineChars="200"/>
              <w:rPr>
                <w:rFonts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sz w:val="18"/>
                <w:szCs w:val="18"/>
              </w:rPr>
              <w:br w:type="page"/>
            </w:r>
          </w:p>
          <w:p w14:paraId="286631D0">
            <w:pPr>
              <w:spacing w:line="360" w:lineRule="auto"/>
              <w:ind w:firstLine="440" w:firstLineChars="200"/>
              <w:rPr>
                <w:rFonts w:ascii="Times New Roman" w:hAnsi="Times New Roman" w:eastAsia="黑体" w:cs="Times New Roman"/>
                <w:sz w:val="22"/>
                <w:szCs w:val="22"/>
              </w:rPr>
            </w:pPr>
            <w:r>
              <w:rPr>
                <w:rFonts w:ascii="Times New Roman" w:hAnsi="Times New Roman" w:eastAsia="黑体" w:cs="Times New Roman"/>
                <w:sz w:val="22"/>
                <w:szCs w:val="22"/>
              </w:rPr>
              <w:t>动物营养与饲料学</w:t>
            </w:r>
          </w:p>
          <w:p w14:paraId="338A236C">
            <w:pPr>
              <w:spacing w:line="360" w:lineRule="auto"/>
              <w:ind w:firstLine="360" w:firstLineChars="200"/>
              <w:rPr>
                <w:rFonts w:ascii="Times New Roman" w:hAnsi="Times New Roman" w:eastAsia="黑体" w:cs="Times New Roman"/>
                <w:sz w:val="18"/>
                <w:szCs w:val="18"/>
              </w:rPr>
            </w:pPr>
            <w:r>
              <w:rPr>
                <w:rFonts w:ascii="Times New Roman" w:hAnsi="Times New Roman" w:eastAsia="黑体" w:cs="Times New Roman"/>
                <w:sz w:val="18"/>
                <w:szCs w:val="18"/>
              </w:rPr>
              <w:t>第一部分：参考书目</w:t>
            </w:r>
          </w:p>
          <w:p w14:paraId="20F55725">
            <w:pPr>
              <w:spacing w:line="360" w:lineRule="auto"/>
              <w:ind w:firstLine="360" w:firstLineChars="200"/>
              <w:rPr>
                <w:rFonts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sz w:val="18"/>
                <w:szCs w:val="18"/>
              </w:rPr>
              <w:t>1．</w:t>
            </w:r>
            <w:r>
              <w:rPr>
                <w:rFonts w:hint="eastAsia" w:ascii="Times New Roman" w:hAnsi="Times New Roman" w:eastAsia="宋体" w:cs="Times New Roman"/>
                <w:sz w:val="18"/>
                <w:szCs w:val="18"/>
              </w:rPr>
              <w:t>动物营养学（第4版），陈代文、余冰</w:t>
            </w:r>
            <w:r>
              <w:rPr>
                <w:rFonts w:ascii="Times New Roman" w:hAnsi="Times New Roman" w:eastAsia="宋体" w:cs="Times New Roman"/>
                <w:sz w:val="18"/>
                <w:szCs w:val="18"/>
              </w:rPr>
              <w:t>主编，</w:t>
            </w:r>
            <w:r>
              <w:rPr>
                <w:rFonts w:hint="eastAsia" w:ascii="Times New Roman" w:hAnsi="Times New Roman" w:eastAsia="宋体" w:cs="Times New Roman"/>
                <w:sz w:val="18"/>
                <w:szCs w:val="18"/>
              </w:rPr>
              <w:t>普通高等教育农业农村部十三五规划教材/全国高等农林院校教材</w:t>
            </w:r>
            <w:r>
              <w:rPr>
                <w:rFonts w:ascii="Times New Roman" w:hAnsi="Times New Roman" w:eastAsia="宋体" w:cs="Times New Roman"/>
                <w:sz w:val="18"/>
                <w:szCs w:val="18"/>
              </w:rPr>
              <w:t>，中国农业出版社，20</w:t>
            </w:r>
            <w:r>
              <w:rPr>
                <w:rFonts w:hint="eastAsia" w:ascii="Times New Roman" w:hAnsi="Times New Roman" w:eastAsia="宋体" w:cs="Times New Roman"/>
                <w:sz w:val="18"/>
                <w:szCs w:val="18"/>
              </w:rPr>
              <w:t>20</w:t>
            </w:r>
            <w:r>
              <w:rPr>
                <w:rFonts w:ascii="Times New Roman" w:hAnsi="Times New Roman" w:eastAsia="宋体" w:cs="Times New Roman"/>
                <w:sz w:val="18"/>
                <w:szCs w:val="18"/>
              </w:rPr>
              <w:t>年出版。</w:t>
            </w:r>
          </w:p>
          <w:p w14:paraId="49798815">
            <w:pPr>
              <w:spacing w:line="360" w:lineRule="auto"/>
              <w:ind w:firstLine="360" w:firstLineChars="200"/>
              <w:rPr>
                <w:rFonts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sz w:val="18"/>
                <w:szCs w:val="18"/>
              </w:rPr>
              <w:t>2．《饲料学》</w:t>
            </w:r>
            <w:r>
              <w:rPr>
                <w:rFonts w:hint="eastAsia" w:ascii="Times New Roman" w:hAnsi="Times New Roman" w:eastAsia="宋体" w:cs="Times New Roman"/>
                <w:sz w:val="18"/>
                <w:szCs w:val="18"/>
              </w:rPr>
              <w:t>（第3版），王恬、王成章</w:t>
            </w:r>
            <w:r>
              <w:rPr>
                <w:rFonts w:ascii="Times New Roman" w:hAnsi="Times New Roman" w:eastAsia="宋体" w:cs="Times New Roman"/>
                <w:sz w:val="18"/>
                <w:szCs w:val="18"/>
              </w:rPr>
              <w:t>主编，</w:t>
            </w:r>
            <w:r>
              <w:rPr>
                <w:rFonts w:hint="eastAsia" w:ascii="Times New Roman" w:hAnsi="Times New Roman" w:eastAsia="宋体" w:cs="Times New Roman"/>
                <w:sz w:val="18"/>
                <w:szCs w:val="18"/>
              </w:rPr>
              <w:t>高等教育农业部十三五规划教材</w:t>
            </w:r>
            <w:r>
              <w:rPr>
                <w:rFonts w:ascii="Times New Roman" w:hAnsi="Times New Roman" w:eastAsia="宋体" w:cs="Times New Roman"/>
                <w:sz w:val="18"/>
                <w:szCs w:val="18"/>
              </w:rPr>
              <w:t>，中国农业出版社，20</w:t>
            </w:r>
            <w:r>
              <w:rPr>
                <w:rFonts w:hint="eastAsia" w:ascii="Times New Roman" w:hAnsi="Times New Roman" w:eastAsia="宋体" w:cs="Times New Roman"/>
                <w:sz w:val="18"/>
                <w:szCs w:val="18"/>
              </w:rPr>
              <w:t>18</w:t>
            </w:r>
            <w:r>
              <w:rPr>
                <w:rFonts w:ascii="Times New Roman" w:hAnsi="Times New Roman" w:eastAsia="宋体" w:cs="Times New Roman"/>
                <w:sz w:val="18"/>
                <w:szCs w:val="18"/>
              </w:rPr>
              <w:t>年出版。</w:t>
            </w:r>
          </w:p>
          <w:p w14:paraId="07586761">
            <w:pPr>
              <w:spacing w:line="360" w:lineRule="auto"/>
              <w:ind w:firstLine="360" w:firstLineChars="200"/>
              <w:rPr>
                <w:rFonts w:ascii="Times New Roman" w:hAnsi="Times New Roman" w:eastAsia="黑体" w:cs="Times New Roman"/>
                <w:sz w:val="18"/>
                <w:szCs w:val="18"/>
              </w:rPr>
            </w:pPr>
            <w:r>
              <w:rPr>
                <w:rFonts w:ascii="Times New Roman" w:hAnsi="Times New Roman" w:eastAsia="黑体" w:cs="Times New Roman"/>
                <w:sz w:val="18"/>
                <w:szCs w:val="18"/>
              </w:rPr>
              <w:t>第二部分：主要内容</w:t>
            </w:r>
          </w:p>
          <w:p w14:paraId="42F25B00">
            <w:pPr>
              <w:spacing w:line="360" w:lineRule="auto"/>
              <w:ind w:firstLine="360" w:firstLineChars="200"/>
              <w:rPr>
                <w:rFonts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sz w:val="18"/>
                <w:szCs w:val="18"/>
              </w:rPr>
              <w:t>（一）动物营养部分</w:t>
            </w:r>
          </w:p>
          <w:p w14:paraId="7BEE99E8">
            <w:pPr>
              <w:spacing w:line="360" w:lineRule="auto"/>
              <w:ind w:firstLine="360" w:firstLineChars="200"/>
              <w:rPr>
                <w:rFonts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sz w:val="18"/>
                <w:szCs w:val="18"/>
              </w:rPr>
              <w:t>1. 概述（5分）</w:t>
            </w:r>
          </w:p>
          <w:p w14:paraId="073E53FF">
            <w:pPr>
              <w:spacing w:line="360" w:lineRule="auto"/>
              <w:ind w:firstLine="360" w:firstLineChars="200"/>
              <w:rPr>
                <w:rFonts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sz w:val="18"/>
                <w:szCs w:val="18"/>
              </w:rPr>
              <w:t>（1）动物营养学的概念</w:t>
            </w:r>
          </w:p>
          <w:p w14:paraId="64695D11">
            <w:pPr>
              <w:spacing w:line="360" w:lineRule="auto"/>
              <w:ind w:firstLine="360" w:firstLineChars="200"/>
              <w:rPr>
                <w:rFonts w:hint="eastAsia"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sz w:val="18"/>
                <w:szCs w:val="18"/>
              </w:rPr>
              <w:t>掌握营养、营养学、动物营养及动物营养学的概念。</w:t>
            </w:r>
          </w:p>
          <w:p w14:paraId="7702D710">
            <w:pPr>
              <w:spacing w:line="360" w:lineRule="auto"/>
              <w:ind w:firstLine="360" w:firstLineChars="200"/>
              <w:rPr>
                <w:rFonts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sz w:val="18"/>
                <w:szCs w:val="18"/>
              </w:rPr>
              <w:t>（</w:t>
            </w:r>
            <w:r>
              <w:rPr>
                <w:rFonts w:hint="eastAsia" w:ascii="Times New Roman" w:hAnsi="Times New Roman" w:eastAsia="宋体" w:cs="Times New Roman"/>
                <w:sz w:val="18"/>
                <w:szCs w:val="18"/>
              </w:rPr>
              <w:t>2</w:t>
            </w:r>
            <w:r>
              <w:rPr>
                <w:rFonts w:ascii="Times New Roman" w:hAnsi="Times New Roman" w:eastAsia="宋体" w:cs="Times New Roman"/>
                <w:sz w:val="18"/>
                <w:szCs w:val="18"/>
              </w:rPr>
              <w:t>）</w:t>
            </w:r>
            <w:r>
              <w:rPr>
                <w:rFonts w:hint="eastAsia" w:ascii="Times New Roman" w:hAnsi="Times New Roman" w:eastAsia="宋体" w:cs="Times New Roman"/>
                <w:sz w:val="18"/>
                <w:szCs w:val="18"/>
              </w:rPr>
              <w:t>营养物质及其来源</w:t>
            </w:r>
          </w:p>
          <w:p w14:paraId="700C1547">
            <w:pPr>
              <w:spacing w:line="360" w:lineRule="auto"/>
              <w:ind w:firstLine="360" w:firstLineChars="200"/>
              <w:rPr>
                <w:rFonts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sz w:val="18"/>
                <w:szCs w:val="18"/>
              </w:rPr>
              <w:t>了解动物与植物的相互关系，理解动植物体的化学组成；掌握动物饲料中主要营养物质，特别是饲料概略养分分析方案中六大成分的概念</w:t>
            </w:r>
            <w:r>
              <w:rPr>
                <w:rFonts w:hint="eastAsia" w:ascii="Times New Roman" w:hAnsi="Times New Roman" w:eastAsia="宋体" w:cs="Times New Roman"/>
                <w:sz w:val="18"/>
                <w:szCs w:val="18"/>
              </w:rPr>
              <w:t>、及其测定与</w:t>
            </w:r>
            <w:r>
              <w:rPr>
                <w:rFonts w:ascii="Times New Roman" w:hAnsi="Times New Roman" w:eastAsia="宋体" w:cs="Times New Roman"/>
                <w:sz w:val="18"/>
                <w:szCs w:val="18"/>
              </w:rPr>
              <w:t>计算方法。</w:t>
            </w:r>
          </w:p>
          <w:p w14:paraId="4DEC904C">
            <w:pPr>
              <w:spacing w:line="360" w:lineRule="auto"/>
              <w:ind w:firstLine="360" w:firstLineChars="200"/>
              <w:rPr>
                <w:rFonts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sz w:val="18"/>
                <w:szCs w:val="18"/>
              </w:rPr>
              <w:t>（</w:t>
            </w:r>
            <w:r>
              <w:rPr>
                <w:rFonts w:hint="eastAsia" w:ascii="Times New Roman" w:hAnsi="Times New Roman" w:eastAsia="宋体" w:cs="Times New Roman"/>
                <w:sz w:val="18"/>
                <w:szCs w:val="18"/>
              </w:rPr>
              <w:t>3</w:t>
            </w:r>
            <w:r>
              <w:rPr>
                <w:rFonts w:ascii="Times New Roman" w:hAnsi="Times New Roman" w:eastAsia="宋体" w:cs="Times New Roman"/>
                <w:sz w:val="18"/>
                <w:szCs w:val="18"/>
              </w:rPr>
              <w:t>）</w:t>
            </w:r>
            <w:r>
              <w:rPr>
                <w:rFonts w:hint="eastAsia" w:ascii="Times New Roman" w:hAnsi="Times New Roman" w:eastAsia="宋体" w:cs="Times New Roman"/>
                <w:sz w:val="18"/>
                <w:szCs w:val="18"/>
              </w:rPr>
              <w:t>动物的消化生理及其对</w:t>
            </w:r>
            <w:r>
              <w:rPr>
                <w:rFonts w:ascii="Times New Roman" w:hAnsi="Times New Roman" w:eastAsia="宋体" w:cs="Times New Roman"/>
                <w:sz w:val="18"/>
                <w:szCs w:val="18"/>
              </w:rPr>
              <w:t>饲料的消化</w:t>
            </w:r>
            <w:r>
              <w:rPr>
                <w:rFonts w:hint="eastAsia" w:ascii="Times New Roman" w:hAnsi="Times New Roman" w:eastAsia="宋体" w:cs="Times New Roman"/>
                <w:sz w:val="18"/>
                <w:szCs w:val="18"/>
              </w:rPr>
              <w:t>规律</w:t>
            </w:r>
          </w:p>
          <w:p w14:paraId="01548A0F">
            <w:pPr>
              <w:spacing w:line="360" w:lineRule="auto"/>
              <w:ind w:firstLine="360" w:firstLineChars="200"/>
              <w:rPr>
                <w:rFonts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sz w:val="18"/>
                <w:szCs w:val="18"/>
              </w:rPr>
              <w:t>理解动物对饲料中营养物质的不同消化方式，熟练掌握各种动物消化饲料的特点，理解消化后营养物质的吸收机制。掌握动物的消化力与饲料的可消化性的概念</w:t>
            </w:r>
            <w:r>
              <w:rPr>
                <w:rFonts w:hint="eastAsia" w:ascii="Times New Roman" w:hAnsi="Times New Roman" w:eastAsia="宋体" w:cs="Times New Roman"/>
                <w:sz w:val="18"/>
                <w:szCs w:val="18"/>
              </w:rPr>
              <w:t>、消化率的概念及其</w:t>
            </w:r>
            <w:r>
              <w:rPr>
                <w:rFonts w:ascii="Times New Roman" w:hAnsi="Times New Roman" w:eastAsia="宋体" w:cs="Times New Roman"/>
                <w:sz w:val="18"/>
                <w:szCs w:val="18"/>
              </w:rPr>
              <w:t>计算方法，了解影响消化率的因素。</w:t>
            </w:r>
          </w:p>
          <w:p w14:paraId="2F20D449">
            <w:pPr>
              <w:spacing w:line="360" w:lineRule="auto"/>
              <w:ind w:firstLine="360" w:firstLineChars="200"/>
              <w:rPr>
                <w:rFonts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sz w:val="18"/>
                <w:szCs w:val="18"/>
              </w:rPr>
              <w:t>2. 动物生存和生产所需营养物质种类、生物学功能</w:t>
            </w:r>
            <w:r>
              <w:rPr>
                <w:rFonts w:hint="eastAsia" w:ascii="Times New Roman" w:hAnsi="Times New Roman" w:eastAsia="宋体" w:cs="Times New Roman"/>
                <w:sz w:val="18"/>
                <w:szCs w:val="18"/>
              </w:rPr>
              <w:t>、利用转化的生理规律</w:t>
            </w:r>
            <w:r>
              <w:rPr>
                <w:rFonts w:ascii="Times New Roman" w:hAnsi="Times New Roman" w:eastAsia="宋体" w:cs="Times New Roman"/>
                <w:sz w:val="18"/>
                <w:szCs w:val="18"/>
              </w:rPr>
              <w:t>及其相互关系（</w:t>
            </w:r>
            <w:r>
              <w:rPr>
                <w:rFonts w:hint="eastAsia" w:ascii="Times New Roman" w:hAnsi="Times New Roman" w:eastAsia="宋体" w:cs="Times New Roman"/>
                <w:sz w:val="18"/>
                <w:szCs w:val="18"/>
              </w:rPr>
              <w:t>8</w:t>
            </w:r>
            <w:r>
              <w:rPr>
                <w:rFonts w:ascii="Times New Roman" w:hAnsi="Times New Roman" w:eastAsia="宋体" w:cs="Times New Roman"/>
                <w:sz w:val="18"/>
                <w:szCs w:val="18"/>
              </w:rPr>
              <w:t>分）</w:t>
            </w:r>
          </w:p>
          <w:p w14:paraId="6176DDD9">
            <w:pPr>
              <w:spacing w:line="360" w:lineRule="auto"/>
              <w:ind w:firstLine="360" w:firstLineChars="200"/>
              <w:rPr>
                <w:rFonts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sz w:val="18"/>
                <w:szCs w:val="18"/>
              </w:rPr>
              <w:t>（1）水、蛋白质（氨基酸）、碳水化合物、</w:t>
            </w:r>
            <w:r>
              <w:rPr>
                <w:rFonts w:hint="eastAsia" w:ascii="Times New Roman" w:hAnsi="Times New Roman" w:eastAsia="宋体" w:cs="Times New Roman"/>
                <w:sz w:val="18"/>
                <w:szCs w:val="18"/>
              </w:rPr>
              <w:t>脂类、能量、</w:t>
            </w:r>
            <w:r>
              <w:rPr>
                <w:rFonts w:ascii="Times New Roman" w:hAnsi="Times New Roman" w:eastAsia="宋体" w:cs="Times New Roman"/>
                <w:sz w:val="18"/>
                <w:szCs w:val="18"/>
              </w:rPr>
              <w:t>矿物质、维生素</w:t>
            </w:r>
            <w:r>
              <w:rPr>
                <w:rFonts w:hint="eastAsia" w:ascii="Times New Roman" w:hAnsi="Times New Roman" w:eastAsia="宋体" w:cs="Times New Roman"/>
                <w:sz w:val="18"/>
                <w:szCs w:val="18"/>
              </w:rPr>
              <w:t>的营养</w:t>
            </w:r>
          </w:p>
          <w:p w14:paraId="63BD9D3F">
            <w:pPr>
              <w:spacing w:line="360" w:lineRule="auto"/>
              <w:ind w:firstLine="360" w:firstLineChars="200"/>
              <w:rPr>
                <w:rFonts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sz w:val="18"/>
                <w:szCs w:val="18"/>
              </w:rPr>
              <w:t>了解各种营养成分的组成</w:t>
            </w:r>
            <w:r>
              <w:rPr>
                <w:rFonts w:hint="eastAsia" w:ascii="Times New Roman" w:hAnsi="Times New Roman" w:eastAsia="宋体" w:cs="Times New Roman"/>
                <w:sz w:val="18"/>
                <w:szCs w:val="18"/>
              </w:rPr>
              <w:t>和作用</w:t>
            </w:r>
            <w:r>
              <w:rPr>
                <w:rFonts w:ascii="Times New Roman" w:hAnsi="Times New Roman" w:eastAsia="宋体" w:cs="Times New Roman"/>
                <w:sz w:val="18"/>
                <w:szCs w:val="18"/>
              </w:rPr>
              <w:t>、分类</w:t>
            </w:r>
            <w:r>
              <w:rPr>
                <w:rFonts w:hint="eastAsia" w:ascii="Times New Roman" w:hAnsi="Times New Roman" w:eastAsia="宋体" w:cs="Times New Roman"/>
                <w:sz w:val="18"/>
                <w:szCs w:val="18"/>
              </w:rPr>
              <w:t>、</w:t>
            </w:r>
            <w:r>
              <w:rPr>
                <w:rFonts w:ascii="Times New Roman" w:hAnsi="Times New Roman" w:eastAsia="宋体" w:cs="Times New Roman"/>
                <w:sz w:val="18"/>
                <w:szCs w:val="18"/>
              </w:rPr>
              <w:t>主要性质熟练掌握各营养物质的营养生理作用。</w:t>
            </w:r>
          </w:p>
          <w:p w14:paraId="5E51A122">
            <w:pPr>
              <w:spacing w:line="360" w:lineRule="auto"/>
              <w:ind w:firstLine="360" w:firstLineChars="200"/>
              <w:rPr>
                <w:rFonts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sz w:val="18"/>
                <w:szCs w:val="18"/>
              </w:rPr>
              <w:t>（2）各种营养物质的消化、吸收和代谢</w:t>
            </w:r>
          </w:p>
          <w:p w14:paraId="5FAD02A1">
            <w:pPr>
              <w:spacing w:line="360" w:lineRule="auto"/>
              <w:ind w:firstLine="360" w:firstLineChars="200"/>
              <w:rPr>
                <w:rFonts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sz w:val="18"/>
                <w:szCs w:val="18"/>
              </w:rPr>
              <w:t>了解各种营养物质在不同动物体内的消化、吸收和代谢过程。掌握反刍动物和非反刍动物对脂类、碳水化合物等物质的消化吸收异同。</w:t>
            </w:r>
          </w:p>
          <w:p w14:paraId="1743388A">
            <w:pPr>
              <w:spacing w:line="360" w:lineRule="auto"/>
              <w:ind w:firstLine="360" w:firstLineChars="200"/>
              <w:rPr>
                <w:rFonts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sz w:val="18"/>
                <w:szCs w:val="18"/>
              </w:rPr>
              <w:t>（3）各种营养物质之间的相互关系</w:t>
            </w:r>
          </w:p>
          <w:p w14:paraId="5D0ACB2C">
            <w:pPr>
              <w:spacing w:line="360" w:lineRule="auto"/>
              <w:ind w:firstLine="360" w:firstLineChars="200"/>
              <w:rPr>
                <w:rFonts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sz w:val="18"/>
                <w:szCs w:val="18"/>
              </w:rPr>
              <w:t>理解能量和其它营养物质的关系；熟练掌握蛋白质、氨基酸和其它营养物质的关系；了解矿物质与维生素的关系。</w:t>
            </w:r>
          </w:p>
          <w:p w14:paraId="1F34FE85">
            <w:pPr>
              <w:spacing w:line="360" w:lineRule="auto"/>
              <w:ind w:firstLine="360" w:firstLineChars="200"/>
              <w:rPr>
                <w:rFonts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sz w:val="18"/>
                <w:szCs w:val="18"/>
              </w:rPr>
              <w:t>（4）营养与环境、健康的关系</w:t>
            </w:r>
          </w:p>
          <w:p w14:paraId="346FE594">
            <w:pPr>
              <w:spacing w:line="360" w:lineRule="auto"/>
              <w:ind w:firstLine="360" w:firstLineChars="200"/>
              <w:rPr>
                <w:rFonts w:hint="eastAsia"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sz w:val="18"/>
                <w:szCs w:val="18"/>
              </w:rPr>
              <w:t>掌握热平衡、温热环境、动物健康机制等概念，了解温热环境对营养物质利用的影响，动物生产对环境污染的影响，了解营养与免疫、肠道健康、应激之间的关系和生理互作规律。</w:t>
            </w:r>
          </w:p>
          <w:p w14:paraId="4643FBB8">
            <w:pPr>
              <w:spacing w:line="360" w:lineRule="auto"/>
              <w:ind w:firstLine="360" w:firstLineChars="200"/>
              <w:rPr>
                <w:rFonts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sz w:val="18"/>
                <w:szCs w:val="18"/>
              </w:rPr>
              <w:t>3</w:t>
            </w:r>
            <w:r>
              <w:rPr>
                <w:rFonts w:ascii="Times New Roman" w:hAnsi="Times New Roman" w:eastAsia="宋体" w:cs="Times New Roman"/>
                <w:sz w:val="18"/>
                <w:szCs w:val="18"/>
              </w:rPr>
              <w:t>. 各种动物的适宜营养需要量（</w:t>
            </w:r>
            <w:r>
              <w:rPr>
                <w:rFonts w:hint="eastAsia" w:ascii="Times New Roman" w:hAnsi="Times New Roman" w:eastAsia="宋体" w:cs="Times New Roman"/>
                <w:sz w:val="18"/>
                <w:szCs w:val="18"/>
              </w:rPr>
              <w:t>8</w:t>
            </w:r>
            <w:r>
              <w:rPr>
                <w:rFonts w:ascii="Times New Roman" w:hAnsi="Times New Roman" w:eastAsia="宋体" w:cs="Times New Roman"/>
                <w:sz w:val="18"/>
                <w:szCs w:val="18"/>
              </w:rPr>
              <w:t>分）</w:t>
            </w:r>
          </w:p>
          <w:p w14:paraId="7D61643C">
            <w:pPr>
              <w:spacing w:line="360" w:lineRule="auto"/>
              <w:ind w:firstLine="360" w:firstLineChars="200"/>
              <w:rPr>
                <w:rFonts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sz w:val="18"/>
                <w:szCs w:val="18"/>
              </w:rPr>
              <w:t>（1）营养需要和饲养标准</w:t>
            </w:r>
          </w:p>
          <w:p w14:paraId="69185346">
            <w:pPr>
              <w:spacing w:line="360" w:lineRule="auto"/>
              <w:ind w:firstLine="360" w:firstLineChars="200"/>
              <w:rPr>
                <w:rFonts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sz w:val="18"/>
                <w:szCs w:val="18"/>
              </w:rPr>
              <w:t>掌握营养需要和饲养标准的概念，掌握饲养标准的基本特性；掌握饲养标准的内容，了解饲养标准的作用，理解应用饲养标准的基本原则。</w:t>
            </w:r>
          </w:p>
          <w:p w14:paraId="2658EBBA">
            <w:pPr>
              <w:spacing w:line="360" w:lineRule="auto"/>
              <w:ind w:firstLine="360" w:firstLineChars="200"/>
              <w:rPr>
                <w:rFonts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sz w:val="18"/>
                <w:szCs w:val="18"/>
              </w:rPr>
              <w:t>（2）营养素供给与动物体内代谢的关系</w:t>
            </w:r>
          </w:p>
          <w:p w14:paraId="0773DEAE">
            <w:pPr>
              <w:spacing w:line="360" w:lineRule="auto"/>
              <w:ind w:firstLine="360" w:firstLineChars="200"/>
              <w:rPr>
                <w:rFonts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sz w:val="18"/>
                <w:szCs w:val="18"/>
              </w:rPr>
              <w:t>掌握动物采食量的概念，理解动物采食量的调节机制，了解动物采食量的影响因素及其调控技术，理解</w:t>
            </w:r>
            <w:r>
              <w:rPr>
                <w:rFonts w:ascii="Times New Roman" w:hAnsi="Times New Roman" w:eastAsia="宋体" w:cs="Times New Roman"/>
                <w:sz w:val="18"/>
                <w:szCs w:val="18"/>
              </w:rPr>
              <w:t>营养素供给对动物体内代谢的影响，了解维生素和矿物质等对动物健康的影响。</w:t>
            </w:r>
          </w:p>
          <w:p w14:paraId="466BA87D">
            <w:pPr>
              <w:spacing w:line="360" w:lineRule="auto"/>
              <w:ind w:firstLine="360" w:firstLineChars="200"/>
              <w:rPr>
                <w:rFonts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sz w:val="18"/>
                <w:szCs w:val="18"/>
              </w:rPr>
              <w:t>（3）不同生理阶段、生产用途条件下的营养需要</w:t>
            </w:r>
          </w:p>
          <w:p w14:paraId="339DF407">
            <w:pPr>
              <w:spacing w:line="360" w:lineRule="auto"/>
              <w:ind w:firstLine="360" w:firstLineChars="200"/>
              <w:rPr>
                <w:rFonts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sz w:val="18"/>
                <w:szCs w:val="18"/>
              </w:rPr>
              <w:t>理解维持需要的概念和动物不同的生理阶段、不同生产用途下的营养需要。</w:t>
            </w:r>
          </w:p>
          <w:p w14:paraId="279340F5">
            <w:pPr>
              <w:spacing w:line="360" w:lineRule="auto"/>
              <w:ind w:firstLine="360" w:firstLineChars="200"/>
              <w:rPr>
                <w:rFonts w:hint="eastAsia"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sz w:val="18"/>
                <w:szCs w:val="18"/>
              </w:rPr>
              <w:t>4</w:t>
            </w:r>
            <w:r>
              <w:rPr>
                <w:rFonts w:ascii="Times New Roman" w:hAnsi="Times New Roman" w:eastAsia="宋体" w:cs="Times New Roman"/>
                <w:sz w:val="18"/>
                <w:szCs w:val="18"/>
              </w:rPr>
              <w:t>.</w:t>
            </w:r>
            <w:r>
              <w:rPr>
                <w:rFonts w:hint="eastAsia" w:ascii="Times New Roman" w:hAnsi="Times New Roman" w:eastAsia="宋体" w:cs="Times New Roman"/>
                <w:sz w:val="18"/>
                <w:szCs w:val="18"/>
              </w:rPr>
              <w:t xml:space="preserve"> 动物营养学和动物营养需要量的研究方法</w:t>
            </w:r>
            <w:r>
              <w:rPr>
                <w:rFonts w:ascii="Times New Roman" w:hAnsi="Times New Roman" w:eastAsia="宋体" w:cs="Times New Roman"/>
                <w:sz w:val="18"/>
                <w:szCs w:val="18"/>
              </w:rPr>
              <w:t>（</w:t>
            </w:r>
            <w:r>
              <w:rPr>
                <w:rFonts w:hint="eastAsia" w:ascii="Times New Roman" w:hAnsi="Times New Roman" w:eastAsia="宋体" w:cs="Times New Roman"/>
                <w:sz w:val="18"/>
                <w:szCs w:val="18"/>
              </w:rPr>
              <w:t>4</w:t>
            </w:r>
            <w:r>
              <w:rPr>
                <w:rFonts w:ascii="Times New Roman" w:hAnsi="Times New Roman" w:eastAsia="宋体" w:cs="Times New Roman"/>
                <w:sz w:val="18"/>
                <w:szCs w:val="18"/>
              </w:rPr>
              <w:t>分）</w:t>
            </w:r>
          </w:p>
          <w:p w14:paraId="6D5AF7A6">
            <w:pPr>
              <w:spacing w:line="360" w:lineRule="auto"/>
              <w:ind w:firstLine="360" w:firstLineChars="200"/>
              <w:rPr>
                <w:rFonts w:hint="eastAsia"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sz w:val="18"/>
                <w:szCs w:val="18"/>
              </w:rPr>
              <w:t>掌握评定饲料养分利用率及营养需要量中常用的消化实验、平衡实验、饲养实验、比较屠宰实验以及同位素示踪、外科造瘘和无菌技术；掌握研究方法常用的实验设计原理和操作技术。</w:t>
            </w:r>
            <w:r>
              <w:rPr>
                <w:rFonts w:hint="eastAsia" w:ascii="Times New Roman" w:hAnsi="Times New Roman" w:eastAsia="宋体" w:cs="Times New Roman"/>
                <w:sz w:val="18"/>
                <w:szCs w:val="18"/>
              </w:rPr>
              <w:t>掌握动物营养需要量的研究方法。</w:t>
            </w:r>
          </w:p>
          <w:p w14:paraId="0FC87D06">
            <w:pPr>
              <w:spacing w:line="360" w:lineRule="auto"/>
              <w:ind w:firstLine="360" w:firstLineChars="200"/>
              <w:rPr>
                <w:rFonts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sz w:val="18"/>
                <w:szCs w:val="18"/>
              </w:rPr>
              <w:t>（二）饲料学部分</w:t>
            </w:r>
          </w:p>
          <w:p w14:paraId="4E530E49">
            <w:pPr>
              <w:spacing w:line="360" w:lineRule="auto"/>
              <w:ind w:firstLine="360" w:firstLineChars="200"/>
              <w:rPr>
                <w:rFonts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sz w:val="18"/>
                <w:szCs w:val="18"/>
              </w:rPr>
              <w:t>1. 饲料分类：重点涉及以营养为目的适宜分类方法 （</w:t>
            </w:r>
            <w:r>
              <w:rPr>
                <w:rFonts w:hint="eastAsia" w:ascii="Times New Roman" w:hAnsi="Times New Roman" w:eastAsia="宋体" w:cs="Times New Roman"/>
                <w:sz w:val="18"/>
                <w:szCs w:val="18"/>
              </w:rPr>
              <w:t>10</w:t>
            </w:r>
            <w:r>
              <w:rPr>
                <w:rFonts w:ascii="Times New Roman" w:hAnsi="Times New Roman" w:eastAsia="宋体" w:cs="Times New Roman"/>
                <w:sz w:val="18"/>
                <w:szCs w:val="18"/>
              </w:rPr>
              <w:t>分）</w:t>
            </w:r>
          </w:p>
          <w:p w14:paraId="4707D0A4">
            <w:pPr>
              <w:spacing w:line="360" w:lineRule="auto"/>
              <w:ind w:firstLine="360" w:firstLineChars="200"/>
              <w:rPr>
                <w:rFonts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sz w:val="18"/>
                <w:szCs w:val="18"/>
              </w:rPr>
              <w:t>了解国际饲料分类法和中国饲料分类法，并掌握其分类依据和不同种类的特点</w:t>
            </w:r>
            <w:r>
              <w:rPr>
                <w:rFonts w:hint="eastAsia" w:ascii="Times New Roman" w:hAnsi="Times New Roman" w:eastAsia="宋体" w:cs="Times New Roman"/>
                <w:sz w:val="18"/>
                <w:szCs w:val="18"/>
              </w:rPr>
              <w:t>，粗饲料、青绿饲料、青贮饲料、能量饲料、蛋白质饲料、矿物质饲料、饲料添加剂等的营养特点及其饲用价值</w:t>
            </w:r>
            <w:r>
              <w:rPr>
                <w:rFonts w:ascii="Times New Roman" w:hAnsi="Times New Roman" w:eastAsia="宋体" w:cs="Times New Roman"/>
                <w:sz w:val="18"/>
                <w:szCs w:val="18"/>
              </w:rPr>
              <w:t>。</w:t>
            </w:r>
          </w:p>
          <w:p w14:paraId="6A167597">
            <w:pPr>
              <w:spacing w:line="360" w:lineRule="auto"/>
              <w:ind w:firstLine="360" w:firstLineChars="200"/>
              <w:rPr>
                <w:rFonts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sz w:val="18"/>
                <w:szCs w:val="18"/>
              </w:rPr>
              <w:t>2. 饲料</w:t>
            </w:r>
            <w:r>
              <w:rPr>
                <w:rFonts w:hint="eastAsia" w:ascii="Times New Roman" w:hAnsi="Times New Roman" w:eastAsia="宋体" w:cs="Times New Roman"/>
                <w:sz w:val="18"/>
                <w:szCs w:val="18"/>
              </w:rPr>
              <w:t>成分、</w:t>
            </w:r>
            <w:r>
              <w:rPr>
                <w:rFonts w:ascii="Times New Roman" w:hAnsi="Times New Roman" w:eastAsia="宋体" w:cs="Times New Roman"/>
                <w:sz w:val="18"/>
                <w:szCs w:val="18"/>
              </w:rPr>
              <w:t>理化特性及其鉴定分析方法（</w:t>
            </w:r>
            <w:r>
              <w:rPr>
                <w:rFonts w:hint="eastAsia" w:ascii="Times New Roman" w:hAnsi="Times New Roman" w:eastAsia="宋体" w:cs="Times New Roman"/>
                <w:sz w:val="18"/>
                <w:szCs w:val="18"/>
              </w:rPr>
              <w:t>4</w:t>
            </w:r>
            <w:r>
              <w:rPr>
                <w:rFonts w:ascii="Times New Roman" w:hAnsi="Times New Roman" w:eastAsia="宋体" w:cs="Times New Roman"/>
                <w:sz w:val="18"/>
                <w:szCs w:val="18"/>
              </w:rPr>
              <w:t>分）</w:t>
            </w:r>
          </w:p>
          <w:p w14:paraId="3E92D2DE">
            <w:pPr>
              <w:spacing w:line="360" w:lineRule="auto"/>
              <w:ind w:firstLine="360" w:firstLineChars="200"/>
              <w:rPr>
                <w:rFonts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sz w:val="18"/>
                <w:szCs w:val="18"/>
              </w:rPr>
              <w:t>掌握饲料组成成分，</w:t>
            </w:r>
            <w:r>
              <w:rPr>
                <w:rFonts w:ascii="Times New Roman" w:hAnsi="Times New Roman" w:eastAsia="宋体" w:cs="Times New Roman"/>
                <w:sz w:val="18"/>
                <w:szCs w:val="18"/>
              </w:rPr>
              <w:t>了解各种饲料的理化性质；掌握抗营养因子的概念，饲料原料中主要抗营养因子的种类；熟练掌握各种饲料原料的鉴定分析方法。掌握饲料源性有毒有害物质和非饲料源性有毒有害物质，联系近年来饲料方面的重大安全问题，如何保证饲料安全。</w:t>
            </w:r>
          </w:p>
          <w:p w14:paraId="36CF52D2">
            <w:pPr>
              <w:spacing w:line="360" w:lineRule="auto"/>
              <w:ind w:firstLine="360" w:firstLineChars="200"/>
              <w:rPr>
                <w:rFonts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sz w:val="18"/>
                <w:szCs w:val="18"/>
              </w:rPr>
              <w:t>3. 饲料营养价值评定及其在实际生产中的作用（3分）</w:t>
            </w:r>
          </w:p>
          <w:p w14:paraId="467FA8D9">
            <w:pPr>
              <w:spacing w:line="360" w:lineRule="auto"/>
              <w:ind w:firstLine="360" w:firstLineChars="200"/>
              <w:rPr>
                <w:rFonts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sz w:val="18"/>
                <w:szCs w:val="18"/>
              </w:rPr>
              <w:t>掌握饲料营养价值的评定方法，</w:t>
            </w:r>
            <w:r>
              <w:rPr>
                <w:rFonts w:ascii="Times New Roman" w:hAnsi="Times New Roman" w:eastAsia="宋体" w:cs="Times New Roman"/>
                <w:sz w:val="18"/>
                <w:szCs w:val="18"/>
              </w:rPr>
              <w:t>掌握消化能、代谢能和净能</w:t>
            </w:r>
            <w:r>
              <w:rPr>
                <w:rFonts w:hint="eastAsia" w:ascii="Times New Roman" w:hAnsi="Times New Roman" w:eastAsia="宋体" w:cs="Times New Roman"/>
                <w:sz w:val="18"/>
                <w:szCs w:val="18"/>
              </w:rPr>
              <w:t>等</w:t>
            </w:r>
            <w:r>
              <w:rPr>
                <w:rFonts w:ascii="Times New Roman" w:hAnsi="Times New Roman" w:eastAsia="宋体" w:cs="Times New Roman"/>
                <w:sz w:val="18"/>
                <w:szCs w:val="18"/>
              </w:rPr>
              <w:t>测定方法和一般程序，氨基酸可利用性测定一般程序，矿物元素可利用性测定注意事项。</w:t>
            </w:r>
          </w:p>
          <w:p w14:paraId="27F1859A">
            <w:pPr>
              <w:spacing w:line="360" w:lineRule="auto"/>
              <w:ind w:firstLine="360" w:firstLineChars="200"/>
              <w:rPr>
                <w:rFonts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sz w:val="18"/>
                <w:szCs w:val="18"/>
              </w:rPr>
              <w:t>4</w:t>
            </w:r>
            <w:r>
              <w:rPr>
                <w:rFonts w:ascii="Times New Roman" w:hAnsi="Times New Roman" w:eastAsia="宋体" w:cs="Times New Roman"/>
                <w:sz w:val="18"/>
                <w:szCs w:val="18"/>
              </w:rPr>
              <w:t>. 商品饲料（包括配合饲料）生产的理论基础</w:t>
            </w:r>
            <w:r>
              <w:rPr>
                <w:rFonts w:hint="eastAsia" w:ascii="Times New Roman" w:hAnsi="Times New Roman" w:eastAsia="宋体" w:cs="Times New Roman"/>
                <w:sz w:val="18"/>
                <w:szCs w:val="18"/>
              </w:rPr>
              <w:t>、工艺设备、</w:t>
            </w:r>
            <w:r>
              <w:rPr>
                <w:rFonts w:ascii="Times New Roman" w:hAnsi="Times New Roman" w:eastAsia="宋体" w:cs="Times New Roman"/>
                <w:sz w:val="18"/>
                <w:szCs w:val="18"/>
              </w:rPr>
              <w:t>质量标准</w:t>
            </w:r>
            <w:r>
              <w:rPr>
                <w:rFonts w:hint="eastAsia" w:ascii="Times New Roman" w:hAnsi="Times New Roman" w:eastAsia="宋体" w:cs="Times New Roman"/>
                <w:sz w:val="18"/>
                <w:szCs w:val="18"/>
              </w:rPr>
              <w:t>与卫生安全</w:t>
            </w:r>
            <w:r>
              <w:rPr>
                <w:rFonts w:ascii="Times New Roman" w:hAnsi="Times New Roman" w:eastAsia="宋体" w:cs="Times New Roman"/>
                <w:sz w:val="18"/>
                <w:szCs w:val="18"/>
              </w:rPr>
              <w:t>（</w:t>
            </w:r>
            <w:r>
              <w:rPr>
                <w:rFonts w:hint="eastAsia" w:ascii="Times New Roman" w:hAnsi="Times New Roman" w:eastAsia="宋体" w:cs="Times New Roman"/>
                <w:sz w:val="18"/>
                <w:szCs w:val="18"/>
              </w:rPr>
              <w:t>6</w:t>
            </w:r>
            <w:r>
              <w:rPr>
                <w:rFonts w:ascii="Times New Roman" w:hAnsi="Times New Roman" w:eastAsia="宋体" w:cs="Times New Roman"/>
                <w:sz w:val="18"/>
                <w:szCs w:val="18"/>
              </w:rPr>
              <w:t>分）</w:t>
            </w:r>
          </w:p>
          <w:p w14:paraId="69E854ED">
            <w:pPr>
              <w:spacing w:line="360" w:lineRule="auto"/>
              <w:ind w:firstLine="360" w:firstLineChars="200"/>
              <w:rPr>
                <w:rFonts w:hint="eastAsia"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sz w:val="18"/>
                <w:szCs w:val="18"/>
              </w:rPr>
              <w:t>掌握配合饲料的概念、种类和结构，饲料配方设计的一般原则，饲料添加剂预混料配制技术、浓缩料配制技术、全价配合饲料配制技术的要点</w:t>
            </w:r>
            <w:r>
              <w:rPr>
                <w:rFonts w:hint="eastAsia" w:ascii="Times New Roman" w:hAnsi="Times New Roman" w:eastAsia="宋体" w:cs="Times New Roman"/>
                <w:sz w:val="18"/>
                <w:szCs w:val="18"/>
              </w:rPr>
              <w:t>，配合饲料的加工工艺与设备</w:t>
            </w:r>
            <w:r>
              <w:rPr>
                <w:rFonts w:ascii="Times New Roman" w:hAnsi="Times New Roman" w:eastAsia="宋体" w:cs="Times New Roman"/>
                <w:sz w:val="18"/>
                <w:szCs w:val="18"/>
              </w:rPr>
              <w:t>。</w:t>
            </w:r>
            <w:r>
              <w:rPr>
                <w:rFonts w:hint="eastAsia" w:ascii="Times New Roman" w:hAnsi="Times New Roman" w:eastAsia="宋体" w:cs="Times New Roman"/>
                <w:sz w:val="18"/>
                <w:szCs w:val="18"/>
              </w:rPr>
              <w:t>了解饲料卫生、安全与法规。</w:t>
            </w:r>
          </w:p>
          <w:p w14:paraId="058F17E2">
            <w:pPr>
              <w:spacing w:line="360" w:lineRule="auto"/>
              <w:ind w:firstLine="360" w:firstLineChars="200"/>
              <w:rPr>
                <w:rFonts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sz w:val="18"/>
                <w:szCs w:val="18"/>
              </w:rPr>
              <w:t>5</w:t>
            </w:r>
            <w:r>
              <w:rPr>
                <w:rFonts w:ascii="Times New Roman" w:hAnsi="Times New Roman" w:eastAsia="宋体" w:cs="Times New Roman"/>
                <w:sz w:val="18"/>
                <w:szCs w:val="18"/>
              </w:rPr>
              <w:t>. 饲料资源</w:t>
            </w:r>
            <w:r>
              <w:rPr>
                <w:rFonts w:hint="eastAsia" w:ascii="Times New Roman" w:hAnsi="Times New Roman" w:eastAsia="宋体" w:cs="Times New Roman"/>
                <w:sz w:val="18"/>
                <w:szCs w:val="18"/>
              </w:rPr>
              <w:t>的</w:t>
            </w:r>
            <w:r>
              <w:rPr>
                <w:rFonts w:ascii="Times New Roman" w:hAnsi="Times New Roman" w:eastAsia="宋体" w:cs="Times New Roman"/>
                <w:sz w:val="18"/>
                <w:szCs w:val="18"/>
              </w:rPr>
              <w:t>开发</w:t>
            </w:r>
            <w:r>
              <w:rPr>
                <w:rFonts w:hint="eastAsia" w:ascii="Times New Roman" w:hAnsi="Times New Roman" w:eastAsia="宋体" w:cs="Times New Roman"/>
                <w:sz w:val="18"/>
                <w:szCs w:val="18"/>
              </w:rPr>
              <w:t>与利用技术</w:t>
            </w:r>
            <w:r>
              <w:rPr>
                <w:rFonts w:ascii="Times New Roman" w:hAnsi="Times New Roman" w:eastAsia="宋体" w:cs="Times New Roman"/>
                <w:sz w:val="18"/>
                <w:szCs w:val="18"/>
              </w:rPr>
              <w:t>（2分）</w:t>
            </w:r>
          </w:p>
          <w:p w14:paraId="371B94C2">
            <w:pPr>
              <w:spacing w:line="360" w:lineRule="auto"/>
              <w:ind w:firstLine="360" w:firstLineChars="200"/>
              <w:rPr>
                <w:rFonts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sz w:val="18"/>
                <w:szCs w:val="18"/>
              </w:rPr>
              <w:t>了解饲料资源开发利用现状和开发利用的途径。掌握我国饲料资源的现状，饲料资源开发利用的途径有哪些。</w:t>
            </w:r>
          </w:p>
          <w:p w14:paraId="77E5E7BB">
            <w:pPr>
              <w:spacing w:line="360" w:lineRule="auto"/>
              <w:ind w:firstLine="360" w:firstLineChars="200"/>
              <w:rPr>
                <w:rFonts w:ascii="Times New Roman" w:hAnsi="Times New Roman" w:eastAsia="黑体" w:cs="Times New Roman"/>
                <w:sz w:val="18"/>
                <w:szCs w:val="18"/>
              </w:rPr>
            </w:pPr>
            <w:r>
              <w:rPr>
                <w:rFonts w:ascii="Times New Roman" w:hAnsi="Times New Roman" w:eastAsia="黑体" w:cs="Times New Roman"/>
                <w:sz w:val="18"/>
                <w:szCs w:val="18"/>
              </w:rPr>
              <w:t>第三部分：基本题型</w:t>
            </w:r>
          </w:p>
          <w:p w14:paraId="775259BF">
            <w:pPr>
              <w:spacing w:line="360" w:lineRule="auto"/>
              <w:ind w:firstLine="360" w:firstLineChars="200"/>
              <w:rPr>
                <w:rFonts w:hint="eastAsia"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sz w:val="18"/>
                <w:szCs w:val="18"/>
              </w:rPr>
              <w:t>1、名词解释题（约15分）</w:t>
            </w:r>
          </w:p>
          <w:p w14:paraId="5DDF0BFA">
            <w:pPr>
              <w:spacing w:line="360" w:lineRule="auto"/>
              <w:ind w:firstLine="360" w:firstLineChars="200"/>
              <w:rPr>
                <w:rFonts w:hint="eastAsia"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sz w:val="18"/>
                <w:szCs w:val="18"/>
              </w:rPr>
              <w:t>2、简答题（约25分）</w:t>
            </w:r>
          </w:p>
          <w:p w14:paraId="6CA4B732">
            <w:pPr>
              <w:spacing w:line="360" w:lineRule="auto"/>
              <w:ind w:firstLine="360" w:firstLineChars="200"/>
              <w:rPr>
                <w:rFonts w:hint="eastAsia"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sz w:val="18"/>
                <w:szCs w:val="18"/>
              </w:rPr>
              <w:t>3、论述题（约10分）</w:t>
            </w:r>
          </w:p>
          <w:bookmarkEnd w:id="0"/>
          <w:p w14:paraId="4DE6FB8A">
            <w:pPr>
              <w:spacing w:line="360" w:lineRule="auto"/>
              <w:ind w:firstLine="420" w:firstLineChars="200"/>
              <w:rPr>
                <w:rFonts w:ascii="Times New Roman" w:hAnsi="Times New Roman" w:eastAsia="宋体" w:cs="Times New Roman"/>
                <w:sz w:val="21"/>
                <w:szCs w:val="21"/>
              </w:rPr>
            </w:pPr>
          </w:p>
          <w:p w14:paraId="09E9CDF5">
            <w:pPr>
              <w:spacing w:line="360" w:lineRule="auto"/>
              <w:ind w:firstLine="420" w:firstLineChars="200"/>
              <w:rPr>
                <w:rFonts w:ascii="Times New Roman" w:hAnsi="Times New Roman" w:eastAsia="宋体" w:cs="Times New Roman"/>
                <w:sz w:val="21"/>
                <w:szCs w:val="21"/>
              </w:rPr>
            </w:pPr>
            <w:r>
              <w:rPr>
                <w:rFonts w:ascii="Times New Roman" w:hAnsi="Times New Roman" w:eastAsia="宋体" w:cs="Times New Roman"/>
                <w:sz w:val="21"/>
                <w:szCs w:val="21"/>
              </w:rPr>
              <w:br w:type="page"/>
            </w:r>
          </w:p>
          <w:p w14:paraId="3CC05AA5">
            <w:pPr>
              <w:spacing w:line="360" w:lineRule="auto"/>
              <w:ind w:firstLine="440" w:firstLineChars="200"/>
              <w:rPr>
                <w:rFonts w:ascii="Times New Roman" w:hAnsi="Times New Roman" w:eastAsia="黑体" w:cs="Times New Roman"/>
                <w:sz w:val="22"/>
                <w:szCs w:val="22"/>
              </w:rPr>
            </w:pPr>
            <w:r>
              <w:rPr>
                <w:rFonts w:ascii="Times New Roman" w:hAnsi="Times New Roman" w:eastAsia="黑体" w:cs="Times New Roman"/>
                <w:sz w:val="22"/>
                <w:szCs w:val="22"/>
              </w:rPr>
              <w:t>动物繁殖学</w:t>
            </w:r>
          </w:p>
          <w:p w14:paraId="17E8EC00">
            <w:pPr>
              <w:spacing w:line="360" w:lineRule="auto"/>
              <w:ind w:firstLine="360" w:firstLineChars="200"/>
              <w:rPr>
                <w:rFonts w:ascii="Times New Roman" w:hAnsi="Times New Roman" w:eastAsia="黑体" w:cs="Times New Roman"/>
                <w:sz w:val="18"/>
                <w:szCs w:val="18"/>
              </w:rPr>
            </w:pPr>
            <w:r>
              <w:rPr>
                <w:rFonts w:ascii="Times New Roman" w:hAnsi="Times New Roman" w:eastAsia="黑体" w:cs="Times New Roman"/>
                <w:sz w:val="18"/>
                <w:szCs w:val="18"/>
              </w:rPr>
              <w:t>第一部分：参考书目</w:t>
            </w:r>
          </w:p>
          <w:p w14:paraId="7F059663">
            <w:pPr>
              <w:spacing w:line="360" w:lineRule="auto"/>
              <w:ind w:firstLine="360" w:firstLineChars="200"/>
              <w:rPr>
                <w:rFonts w:hint="eastAsia"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sz w:val="18"/>
                <w:szCs w:val="18"/>
              </w:rPr>
              <w:t>《家畜繁殖学》，朱士恩主编，2015，北京：中国农业出版社，第6版。</w:t>
            </w:r>
          </w:p>
          <w:p w14:paraId="52821448">
            <w:pPr>
              <w:spacing w:line="360" w:lineRule="auto"/>
              <w:ind w:firstLine="360" w:firstLineChars="200"/>
              <w:rPr>
                <w:rFonts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sz w:val="18"/>
                <w:szCs w:val="18"/>
              </w:rPr>
              <w:t>《动物繁殖学》，王锋主编，2022，北京：中国农业大学出版社，第2版。</w:t>
            </w:r>
          </w:p>
          <w:p w14:paraId="14F7B1EE">
            <w:pPr>
              <w:spacing w:line="360" w:lineRule="auto"/>
              <w:ind w:firstLine="360" w:firstLineChars="200"/>
              <w:rPr>
                <w:rFonts w:ascii="Times New Roman" w:hAnsi="Times New Roman" w:eastAsia="黑体" w:cs="Times New Roman"/>
                <w:sz w:val="18"/>
                <w:szCs w:val="18"/>
              </w:rPr>
            </w:pPr>
            <w:r>
              <w:rPr>
                <w:rFonts w:ascii="Times New Roman" w:hAnsi="Times New Roman" w:eastAsia="黑体" w:cs="Times New Roman"/>
                <w:sz w:val="18"/>
                <w:szCs w:val="18"/>
              </w:rPr>
              <w:t>第二部分：主要内容</w:t>
            </w:r>
          </w:p>
          <w:p w14:paraId="06525EFC">
            <w:pPr>
              <w:spacing w:line="360" w:lineRule="auto"/>
              <w:ind w:firstLine="360" w:firstLineChars="200"/>
              <w:rPr>
                <w:rFonts w:hint="eastAsia"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sz w:val="18"/>
                <w:szCs w:val="18"/>
              </w:rPr>
              <w:t>绪论（2分）</w:t>
            </w:r>
          </w:p>
          <w:p w14:paraId="3517673A">
            <w:pPr>
              <w:spacing w:line="360" w:lineRule="auto"/>
              <w:ind w:firstLine="360" w:firstLineChars="200"/>
              <w:rPr>
                <w:rFonts w:hint="eastAsia"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sz w:val="18"/>
                <w:szCs w:val="18"/>
              </w:rPr>
              <w:t>了解家畜繁殖的概念与繁殖过程；动物繁殖学的研究任务与主要内容；动物繁殖学的研究方法；掌握动物繁殖学在畜牧业生产中的应用和意义。</w:t>
            </w:r>
          </w:p>
          <w:p w14:paraId="6C662FED">
            <w:pPr>
              <w:spacing w:line="360" w:lineRule="auto"/>
              <w:ind w:firstLine="360" w:firstLineChars="200"/>
              <w:rPr>
                <w:rFonts w:hint="eastAsia"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sz w:val="18"/>
                <w:szCs w:val="18"/>
              </w:rPr>
              <w:t>第1章 家畜生殖器官及机能（2分）</w:t>
            </w:r>
          </w:p>
          <w:p w14:paraId="434BBF89">
            <w:pPr>
              <w:spacing w:line="360" w:lineRule="auto"/>
              <w:ind w:firstLine="360" w:firstLineChars="200"/>
              <w:rPr>
                <w:rFonts w:hint="eastAsia"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sz w:val="18"/>
                <w:szCs w:val="18"/>
              </w:rPr>
              <w:t>了解家畜生殖器官发生、发育的过程与调节机理。 掌握公母畜生殖系统的组成，公母畜主要生殖器官的解剖组织构造和生理机能。</w:t>
            </w:r>
          </w:p>
          <w:p w14:paraId="6799BDF5">
            <w:pPr>
              <w:spacing w:line="360" w:lineRule="auto"/>
              <w:ind w:firstLine="360" w:firstLineChars="200"/>
              <w:rPr>
                <w:rFonts w:hint="eastAsia"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sz w:val="18"/>
                <w:szCs w:val="18"/>
              </w:rPr>
              <w:t>第2章 生殖激素（6分）</w:t>
            </w:r>
          </w:p>
          <w:p w14:paraId="05591550">
            <w:pPr>
              <w:spacing w:line="360" w:lineRule="auto"/>
              <w:ind w:firstLine="360" w:firstLineChars="200"/>
              <w:rPr>
                <w:rFonts w:hint="eastAsia"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sz w:val="18"/>
                <w:szCs w:val="18"/>
              </w:rPr>
              <w:t>掌握生殖激素的概念、分类与作用特点；重点掌握下丘脑促性腺激素释放激素、垂体促性腺激素，胎盘促性腺激素，性腺激素，前列腺素的种类、来源、理化特性、分泌调节、功能与应用；掌握性外激素的概念、生理功能及应用概况；了解生殖激素的测定原理与方法。</w:t>
            </w:r>
          </w:p>
          <w:p w14:paraId="5D9FDAB9">
            <w:pPr>
              <w:spacing w:line="360" w:lineRule="auto"/>
              <w:ind w:firstLine="360" w:firstLineChars="200"/>
              <w:rPr>
                <w:rFonts w:hint="eastAsia"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sz w:val="18"/>
                <w:szCs w:val="18"/>
              </w:rPr>
              <w:t>第3章 雄性动物生殖生理（4分）</w:t>
            </w:r>
          </w:p>
          <w:p w14:paraId="23BB1A7E">
            <w:pPr>
              <w:spacing w:line="360" w:lineRule="auto"/>
              <w:ind w:firstLine="360" w:firstLineChars="200"/>
              <w:rPr>
                <w:rFonts w:hint="eastAsia"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sz w:val="18"/>
                <w:szCs w:val="18"/>
              </w:rPr>
              <w:t>掌握公畜生殖机能发育及性行为的概念、模式和特点；重点掌握公畜精子发生、成熟的场所，过程和调控机理；了解精液的化学组成与理化特性；掌握精子的生理特性，外界环境因素对精子生理活动的影响。</w:t>
            </w:r>
          </w:p>
          <w:p w14:paraId="1AF949AB">
            <w:pPr>
              <w:spacing w:line="360" w:lineRule="auto"/>
              <w:ind w:firstLine="360" w:firstLineChars="200"/>
              <w:rPr>
                <w:rFonts w:hint="eastAsia"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sz w:val="18"/>
                <w:szCs w:val="18"/>
              </w:rPr>
              <w:t>第4章 雌性动物生殖生理及其调控（8分）</w:t>
            </w:r>
          </w:p>
          <w:p w14:paraId="1C29DA2B">
            <w:pPr>
              <w:spacing w:line="360" w:lineRule="auto"/>
              <w:ind w:firstLine="360" w:firstLineChars="200"/>
              <w:rPr>
                <w:rFonts w:hint="eastAsia"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sz w:val="18"/>
                <w:szCs w:val="18"/>
              </w:rPr>
              <w:t>掌握母畜生殖机能发育的规律和基本概念；重点掌握卵子发生和卵泡发育的过程及内分泌调控机制；掌握发情周期的概念、类型、阶段划分和调节机理；了解乏情的概念、种类和原因；掌握常见（牛、羊、猪）的发情鉴定方法和发情、排卵控制技术的概念、原理和方法。</w:t>
            </w:r>
          </w:p>
          <w:p w14:paraId="65D8450D">
            <w:pPr>
              <w:spacing w:line="360" w:lineRule="auto"/>
              <w:ind w:firstLine="360" w:firstLineChars="200"/>
              <w:rPr>
                <w:rFonts w:hint="eastAsia"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sz w:val="18"/>
                <w:szCs w:val="18"/>
              </w:rPr>
              <w:t>第5章 人工授精技术（6分）</w:t>
            </w:r>
          </w:p>
          <w:p w14:paraId="433934C0">
            <w:pPr>
              <w:spacing w:line="360" w:lineRule="auto"/>
              <w:ind w:firstLine="360" w:firstLineChars="200"/>
              <w:rPr>
                <w:rFonts w:hint="eastAsia"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sz w:val="18"/>
                <w:szCs w:val="18"/>
              </w:rPr>
              <w:t>掌握人工授精的优越性和技术环节，精子密度、活力、畸形率、精液常温保存、低温保存、冷冻保存、深部输精、定时输精等名词概念；掌握各种采精方法，精液品质检查，精液稀释与保存的原理与方法。应用生殖生理学知识，分析提高人工授精受胎率的综合技术措施。</w:t>
            </w:r>
          </w:p>
          <w:p w14:paraId="3679DB77">
            <w:pPr>
              <w:spacing w:line="360" w:lineRule="auto"/>
              <w:ind w:firstLine="360" w:firstLineChars="200"/>
              <w:rPr>
                <w:rFonts w:hint="eastAsia"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sz w:val="18"/>
                <w:szCs w:val="18"/>
              </w:rPr>
              <w:t>第6章 受精、妊娠与妊娠诊断（6分）</w:t>
            </w:r>
          </w:p>
          <w:p w14:paraId="7B51C584">
            <w:pPr>
              <w:spacing w:line="360" w:lineRule="auto"/>
              <w:ind w:firstLine="360" w:firstLineChars="200"/>
              <w:rPr>
                <w:rFonts w:hint="eastAsia"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sz w:val="18"/>
                <w:szCs w:val="18"/>
              </w:rPr>
              <w:t>掌握受精、胚胎发育、胎膜胎盘有关的概念和生理学知识，应用这些基本知识分析提高受精率，降低胚胎死亡率的综合技术措施；掌握家畜妊娠识别与建立的机理，妊娠期的生理变化，妊娠诊断的原理和方法。</w:t>
            </w:r>
          </w:p>
          <w:p w14:paraId="19AAFA95">
            <w:pPr>
              <w:spacing w:line="360" w:lineRule="auto"/>
              <w:ind w:firstLine="360" w:firstLineChars="200"/>
              <w:rPr>
                <w:rFonts w:hint="eastAsia"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sz w:val="18"/>
                <w:szCs w:val="18"/>
              </w:rPr>
              <w:t>第7章 分娩与助产（4分）</w:t>
            </w:r>
          </w:p>
          <w:p w14:paraId="28FCF907">
            <w:pPr>
              <w:spacing w:line="360" w:lineRule="auto"/>
              <w:ind w:firstLine="360" w:firstLineChars="200"/>
              <w:rPr>
                <w:rFonts w:hint="eastAsia"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sz w:val="18"/>
                <w:szCs w:val="18"/>
              </w:rPr>
              <w:t>掌握家畜分娩发动机理，分娩过程与分娩预兆，影响分娩的因素与难产原因，难产助产的原则与预防难产的措施；掌握常见家畜（牛、羊、猪）的诱导分娩技术；了解产后仔畜和母畜的护理工作要点。</w:t>
            </w:r>
          </w:p>
          <w:p w14:paraId="7FEC7922">
            <w:pPr>
              <w:spacing w:line="360" w:lineRule="auto"/>
              <w:ind w:firstLine="360" w:firstLineChars="200"/>
              <w:rPr>
                <w:rFonts w:hint="eastAsia"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sz w:val="18"/>
                <w:szCs w:val="18"/>
              </w:rPr>
              <w:t>第8章 动物繁殖新技术（8分）</w:t>
            </w:r>
          </w:p>
          <w:p w14:paraId="63B2E371">
            <w:pPr>
              <w:spacing w:line="360" w:lineRule="auto"/>
              <w:ind w:firstLine="360" w:firstLineChars="200"/>
              <w:rPr>
                <w:rFonts w:hint="eastAsia"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sz w:val="18"/>
                <w:szCs w:val="18"/>
              </w:rPr>
              <w:t>掌握胚胎移植的概念、意义、生理学基础、基本原则和技术过程，配子和胚胎冷冻保存的方法和原理，体外受精的概念和技术过程，性别控制技术的类型、原理和方法，动物克隆和动物转基因技术的概念、原理、技术过程和发展前景，胚胎干细胞、诱导多能干细胞、嵌合体的概念及相关技术方法。</w:t>
            </w:r>
          </w:p>
          <w:p w14:paraId="16255B21">
            <w:pPr>
              <w:spacing w:line="360" w:lineRule="auto"/>
              <w:ind w:firstLine="360" w:firstLineChars="200"/>
              <w:rPr>
                <w:rFonts w:hint="eastAsia"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sz w:val="18"/>
                <w:szCs w:val="18"/>
              </w:rPr>
              <w:t>第9章 家畜繁殖力（4分）</w:t>
            </w:r>
          </w:p>
          <w:p w14:paraId="5B10BB20">
            <w:pPr>
              <w:spacing w:line="360" w:lineRule="auto"/>
              <w:ind w:firstLine="360" w:firstLineChars="200"/>
              <w:rPr>
                <w:rFonts w:hint="eastAsia"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sz w:val="18"/>
                <w:szCs w:val="18"/>
              </w:rPr>
              <w:t>掌握繁殖力的概念和评定指标，主要家畜自然繁殖力与繁殖力现状，引起繁殖障碍的原因和公畜、母畜常见的繁殖障碍，提高家畜繁殖力综合技术措施。</w:t>
            </w:r>
          </w:p>
          <w:p w14:paraId="12461BFB">
            <w:pPr>
              <w:spacing w:line="360" w:lineRule="auto"/>
              <w:ind w:firstLine="360" w:firstLineChars="200"/>
              <w:rPr>
                <w:rFonts w:ascii="Times New Roman" w:hAnsi="Times New Roman" w:eastAsia="黑体" w:cs="Times New Roman"/>
                <w:sz w:val="18"/>
                <w:szCs w:val="18"/>
              </w:rPr>
            </w:pPr>
            <w:r>
              <w:rPr>
                <w:rFonts w:ascii="Times New Roman" w:hAnsi="Times New Roman" w:eastAsia="黑体" w:cs="Times New Roman"/>
                <w:sz w:val="18"/>
                <w:szCs w:val="18"/>
              </w:rPr>
              <w:t>第三部分：基本题型</w:t>
            </w:r>
            <w:bookmarkStart w:id="1" w:name="_GoBack"/>
            <w:bookmarkEnd w:id="1"/>
          </w:p>
          <w:p w14:paraId="00D7EC9A">
            <w:pPr>
              <w:spacing w:line="360" w:lineRule="auto"/>
              <w:ind w:firstLine="360" w:firstLineChars="200"/>
              <w:rPr>
                <w:rFonts w:hint="eastAsia"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sz w:val="18"/>
                <w:szCs w:val="18"/>
              </w:rPr>
              <w:t>1、名词解释题（约15分）</w:t>
            </w:r>
          </w:p>
          <w:p w14:paraId="5D0DEE47">
            <w:pPr>
              <w:spacing w:line="360" w:lineRule="auto"/>
              <w:ind w:firstLine="360" w:firstLineChars="200"/>
              <w:rPr>
                <w:rFonts w:hint="eastAsia"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sz w:val="18"/>
                <w:szCs w:val="18"/>
              </w:rPr>
              <w:t>2、简答题（约25分）</w:t>
            </w:r>
          </w:p>
          <w:p w14:paraId="1BF79257">
            <w:pPr>
              <w:spacing w:line="360" w:lineRule="auto"/>
              <w:ind w:firstLine="360" w:firstLineChars="200"/>
            </w:pPr>
            <w:r>
              <w:rPr>
                <w:rFonts w:hint="eastAsia" w:ascii="Times New Roman" w:hAnsi="Times New Roman" w:eastAsia="宋体" w:cs="Times New Roman"/>
                <w:sz w:val="18"/>
                <w:szCs w:val="18"/>
              </w:rPr>
              <w:t>3、论述题（约10分）</w:t>
            </w:r>
          </w:p>
        </w:tc>
      </w:tr>
      <w:tr w14:paraId="5522C06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jc w:val="center"/>
        </w:trPr>
        <w:tc>
          <w:tcPr>
            <w:tcW w:w="9254" w:type="dxa"/>
            <w:gridSpan w:val="4"/>
            <w:tcBorders>
              <w:left w:val="single" w:color="000000" w:sz="12" w:space="0"/>
              <w:bottom w:val="single" w:color="000000" w:sz="12" w:space="0"/>
              <w:right w:val="single" w:color="000000" w:sz="12" w:space="0"/>
            </w:tcBorders>
            <w:shd w:val="clear" w:color="auto" w:fill="auto"/>
            <w:tcMar>
              <w:left w:w="200" w:type="dxa"/>
              <w:right w:w="160" w:type="dxa"/>
            </w:tcMar>
            <w:vAlign w:val="top"/>
          </w:tcPr>
          <w:p w14:paraId="6B50B32A">
            <w:pPr>
              <w:pStyle w:val="14"/>
              <w:keepNext w:val="0"/>
              <w:keepLines w:val="0"/>
              <w:widowControl/>
              <w:suppressLineNumbers w:val="0"/>
              <w:spacing w:line="375" w:lineRule="atLeast"/>
              <w:jc w:val="left"/>
            </w:pPr>
            <w:r>
              <w:rPr>
                <w:rStyle w:val="18"/>
                <w:rFonts w:hint="default" w:ascii="Verdana" w:hAnsi="Verdana" w:cs="Verdana"/>
                <w:sz w:val="18"/>
                <w:szCs w:val="18"/>
              </w:rPr>
              <w:t>备注</w:t>
            </w:r>
          </w:p>
        </w:tc>
      </w:tr>
    </w:tbl>
    <w:p w14:paraId="7A113033">
      <w:pPr>
        <w:spacing w:line="360" w:lineRule="auto"/>
        <w:ind w:firstLine="562" w:firstLineChars="200"/>
        <w:rPr>
          <w:rFonts w:ascii="Times New Roman" w:hAnsi="Times New Roman" w:eastAsia="宋体" w:cs="Times New Roman"/>
          <w:b/>
          <w:bCs/>
          <w:sz w:val="28"/>
          <w:szCs w:val="28"/>
        </w:rPr>
      </w:pPr>
    </w:p>
    <w:p w14:paraId="46C13667">
      <w:pPr>
        <w:spacing w:line="360" w:lineRule="auto"/>
        <w:ind w:firstLine="480" w:firstLineChars="200"/>
        <w:rPr>
          <w:rFonts w:ascii="Times New Roman" w:hAnsi="Times New Roman" w:eastAsia="宋体" w:cs="Times New Roman"/>
          <w:sz w:val="24"/>
          <w:szCs w:val="24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等线 Light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Verdana">
    <w:panose1 w:val="020B0604030504040204"/>
    <w:charset w:val="00"/>
    <w:family w:val="auto"/>
    <w:pitch w:val="default"/>
    <w:sig w:usb0="A00006FF" w:usb1="4000205B" w:usb2="00000010" w:usb3="00000000" w:csb0="2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ZGM1OTgxZDM5ZGU4ZmI4ZTVjZTM0ZjExY2FmNmQ4MzMifQ=="/>
  </w:docVars>
  <w:rsids>
    <w:rsidRoot w:val="002713AB"/>
    <w:rsid w:val="00053161"/>
    <w:rsid w:val="00057735"/>
    <w:rsid w:val="000A469F"/>
    <w:rsid w:val="000B3E3A"/>
    <w:rsid w:val="001C63E4"/>
    <w:rsid w:val="00245B58"/>
    <w:rsid w:val="002713AB"/>
    <w:rsid w:val="00333A92"/>
    <w:rsid w:val="003B5861"/>
    <w:rsid w:val="003B752E"/>
    <w:rsid w:val="00435C76"/>
    <w:rsid w:val="004464B4"/>
    <w:rsid w:val="00535CE0"/>
    <w:rsid w:val="00555AD5"/>
    <w:rsid w:val="005E6E11"/>
    <w:rsid w:val="006663FE"/>
    <w:rsid w:val="006C72A6"/>
    <w:rsid w:val="00781C64"/>
    <w:rsid w:val="007B677A"/>
    <w:rsid w:val="008679CE"/>
    <w:rsid w:val="00894917"/>
    <w:rsid w:val="008D6E28"/>
    <w:rsid w:val="008F6597"/>
    <w:rsid w:val="0097744D"/>
    <w:rsid w:val="00990988"/>
    <w:rsid w:val="00AB05E6"/>
    <w:rsid w:val="00B1688E"/>
    <w:rsid w:val="00BE011C"/>
    <w:rsid w:val="00C115F8"/>
    <w:rsid w:val="00C312F7"/>
    <w:rsid w:val="00C74A1A"/>
    <w:rsid w:val="00D634A6"/>
    <w:rsid w:val="00D8594E"/>
    <w:rsid w:val="00DB12EF"/>
    <w:rsid w:val="00E4520C"/>
    <w:rsid w:val="00F17E2F"/>
    <w:rsid w:val="00FB42E9"/>
    <w:rsid w:val="0428355D"/>
    <w:rsid w:val="10510F93"/>
    <w:rsid w:val="3F9A7D0C"/>
    <w:rsid w:val="4CDD3632"/>
    <w:rsid w:val="4F672B3B"/>
    <w:rsid w:val="761C61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0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nhideWhenUsed="0" w:uiPriority="0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qFormat="1" w:unhideWhenUsed="0" w:uiPriority="29" w:semiHidden="0" w:name="Quote"/>
    <w:lsdException w:qFormat="1" w:unhideWhenUsed="0" w:uiPriority="30" w:semiHidden="0" w:name="Intense Quote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  <w14:ligatures w14:val="standardContextual"/>
    </w:rPr>
  </w:style>
  <w:style w:type="paragraph" w:styleId="2">
    <w:name w:val="heading 1"/>
    <w:basedOn w:val="1"/>
    <w:next w:val="1"/>
    <w:link w:val="19"/>
    <w:qFormat/>
    <w:uiPriority w:val="9"/>
    <w:pPr>
      <w:keepNext/>
      <w:keepLines/>
      <w:spacing w:before="480" w:after="80"/>
      <w:outlineLvl w:val="0"/>
    </w:pPr>
    <w:rPr>
      <w:rFonts w:asciiTheme="majorHAnsi" w:hAnsiTheme="majorHAnsi" w:eastAsiaTheme="majorEastAsia" w:cstheme="majorBidi"/>
      <w:color w:val="2F5597" w:themeColor="accent1" w:themeShade="BF"/>
      <w:sz w:val="48"/>
      <w:szCs w:val="48"/>
    </w:rPr>
  </w:style>
  <w:style w:type="paragraph" w:styleId="3">
    <w:name w:val="heading 2"/>
    <w:basedOn w:val="1"/>
    <w:next w:val="1"/>
    <w:link w:val="20"/>
    <w:semiHidden/>
    <w:unhideWhenUsed/>
    <w:qFormat/>
    <w:uiPriority w:val="9"/>
    <w:pPr>
      <w:keepNext/>
      <w:keepLines/>
      <w:spacing w:before="160" w:after="80"/>
      <w:outlineLvl w:val="1"/>
    </w:pPr>
    <w:rPr>
      <w:rFonts w:asciiTheme="majorHAnsi" w:hAnsiTheme="majorHAnsi" w:eastAsiaTheme="majorEastAsia" w:cstheme="majorBidi"/>
      <w:color w:val="2F5597" w:themeColor="accent1" w:themeShade="BF"/>
      <w:sz w:val="40"/>
      <w:szCs w:val="40"/>
    </w:rPr>
  </w:style>
  <w:style w:type="paragraph" w:styleId="4">
    <w:name w:val="heading 3"/>
    <w:basedOn w:val="1"/>
    <w:next w:val="1"/>
    <w:link w:val="21"/>
    <w:semiHidden/>
    <w:unhideWhenUsed/>
    <w:qFormat/>
    <w:uiPriority w:val="9"/>
    <w:pPr>
      <w:keepNext/>
      <w:keepLines/>
      <w:spacing w:before="160" w:after="80"/>
      <w:outlineLvl w:val="2"/>
    </w:pPr>
    <w:rPr>
      <w:rFonts w:asciiTheme="majorHAnsi" w:hAnsiTheme="majorHAnsi" w:eastAsiaTheme="majorEastAsia" w:cstheme="majorBidi"/>
      <w:color w:val="2F5597" w:themeColor="accent1" w:themeShade="BF"/>
      <w:sz w:val="32"/>
      <w:szCs w:val="32"/>
    </w:rPr>
  </w:style>
  <w:style w:type="paragraph" w:styleId="5">
    <w:name w:val="heading 4"/>
    <w:basedOn w:val="1"/>
    <w:next w:val="1"/>
    <w:link w:val="22"/>
    <w:semiHidden/>
    <w:unhideWhenUsed/>
    <w:qFormat/>
    <w:uiPriority w:val="9"/>
    <w:pPr>
      <w:keepNext/>
      <w:keepLines/>
      <w:spacing w:before="80" w:after="40"/>
      <w:outlineLvl w:val="3"/>
    </w:pPr>
    <w:rPr>
      <w:rFonts w:cstheme="majorBidi"/>
      <w:color w:val="2F5597" w:themeColor="accent1" w:themeShade="BF"/>
      <w:sz w:val="28"/>
      <w:szCs w:val="28"/>
    </w:rPr>
  </w:style>
  <w:style w:type="paragraph" w:styleId="6">
    <w:name w:val="heading 5"/>
    <w:basedOn w:val="1"/>
    <w:next w:val="1"/>
    <w:link w:val="23"/>
    <w:semiHidden/>
    <w:unhideWhenUsed/>
    <w:qFormat/>
    <w:uiPriority w:val="9"/>
    <w:pPr>
      <w:keepNext/>
      <w:keepLines/>
      <w:spacing w:before="80" w:after="40"/>
      <w:outlineLvl w:val="4"/>
    </w:pPr>
    <w:rPr>
      <w:rFonts w:cstheme="majorBidi"/>
      <w:color w:val="2F5597" w:themeColor="accent1" w:themeShade="BF"/>
      <w:sz w:val="24"/>
      <w:szCs w:val="24"/>
    </w:rPr>
  </w:style>
  <w:style w:type="paragraph" w:styleId="7">
    <w:name w:val="heading 6"/>
    <w:basedOn w:val="1"/>
    <w:next w:val="1"/>
    <w:link w:val="24"/>
    <w:semiHidden/>
    <w:unhideWhenUsed/>
    <w:qFormat/>
    <w:uiPriority w:val="9"/>
    <w:pPr>
      <w:keepNext/>
      <w:keepLines/>
      <w:spacing w:before="40"/>
      <w:outlineLvl w:val="5"/>
    </w:pPr>
    <w:rPr>
      <w:rFonts w:cstheme="majorBidi"/>
      <w:b/>
      <w:bCs/>
      <w:color w:val="2F5597" w:themeColor="accent1" w:themeShade="BF"/>
    </w:rPr>
  </w:style>
  <w:style w:type="paragraph" w:styleId="8">
    <w:name w:val="heading 7"/>
    <w:basedOn w:val="1"/>
    <w:next w:val="1"/>
    <w:link w:val="25"/>
    <w:semiHidden/>
    <w:unhideWhenUsed/>
    <w:qFormat/>
    <w:uiPriority w:val="9"/>
    <w:pPr>
      <w:keepNext/>
      <w:keepLines/>
      <w:spacing w:before="40"/>
      <w:outlineLvl w:val="6"/>
    </w:pPr>
    <w:rPr>
      <w:rFonts w:cstheme="majorBidi"/>
      <w:b/>
      <w:bCs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9">
    <w:name w:val="heading 8"/>
    <w:basedOn w:val="1"/>
    <w:next w:val="1"/>
    <w:link w:val="26"/>
    <w:semiHidden/>
    <w:unhideWhenUsed/>
    <w:qFormat/>
    <w:uiPriority w:val="9"/>
    <w:pPr>
      <w:keepNext/>
      <w:keepLines/>
      <w:outlineLvl w:val="7"/>
    </w:pPr>
    <w:rPr>
      <w:rFonts w:cstheme="majorBidi"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10">
    <w:name w:val="heading 9"/>
    <w:basedOn w:val="1"/>
    <w:next w:val="1"/>
    <w:link w:val="27"/>
    <w:semiHidden/>
    <w:unhideWhenUsed/>
    <w:qFormat/>
    <w:uiPriority w:val="9"/>
    <w:pPr>
      <w:keepNext/>
      <w:keepLines/>
      <w:outlineLvl w:val="8"/>
    </w:pPr>
    <w:rPr>
      <w:rFonts w:eastAsiaTheme="majorEastAsia" w:cstheme="majorBidi"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default="1" w:styleId="17">
    <w:name w:val="Default Paragraph Font"/>
    <w:semiHidden/>
    <w:unhideWhenUsed/>
    <w:qFormat/>
    <w:uiPriority w:val="1"/>
  </w:style>
  <w:style w:type="table" w:default="1" w:styleId="16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11">
    <w:name w:val="footer"/>
    <w:basedOn w:val="1"/>
    <w:link w:val="38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12">
    <w:name w:val="header"/>
    <w:basedOn w:val="1"/>
    <w:link w:val="37"/>
    <w:unhideWhenUsed/>
    <w:qFormat/>
    <w:uiPriority w:val="99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13">
    <w:name w:val="Subtitle"/>
    <w:basedOn w:val="1"/>
    <w:next w:val="1"/>
    <w:link w:val="29"/>
    <w:qFormat/>
    <w:uiPriority w:val="11"/>
    <w:pPr>
      <w:spacing w:after="160"/>
      <w:jc w:val="center"/>
    </w:pPr>
    <w:rPr>
      <w:rFonts w:asciiTheme="majorHAnsi" w:hAnsiTheme="majorHAnsi" w:eastAsiaTheme="majorEastAsia" w:cstheme="majorBidi"/>
      <w:color w:val="595959" w:themeColor="text1" w:themeTint="A6"/>
      <w:spacing w:val="15"/>
      <w:sz w:val="28"/>
      <w:szCs w:val="28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14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paragraph" w:styleId="15">
    <w:name w:val="Title"/>
    <w:basedOn w:val="1"/>
    <w:next w:val="1"/>
    <w:link w:val="28"/>
    <w:qFormat/>
    <w:uiPriority w:val="10"/>
    <w:pPr>
      <w:spacing w:after="80"/>
      <w:contextualSpacing/>
      <w:jc w:val="center"/>
    </w:pPr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character" w:styleId="18">
    <w:name w:val="Strong"/>
    <w:basedOn w:val="17"/>
    <w:qFormat/>
    <w:uiPriority w:val="0"/>
    <w:rPr>
      <w:b/>
    </w:rPr>
  </w:style>
  <w:style w:type="character" w:customStyle="1" w:styleId="19">
    <w:name w:val="标题 1 字符"/>
    <w:basedOn w:val="17"/>
    <w:link w:val="2"/>
    <w:qFormat/>
    <w:uiPriority w:val="9"/>
    <w:rPr>
      <w:rFonts w:asciiTheme="majorHAnsi" w:hAnsiTheme="majorHAnsi" w:eastAsiaTheme="majorEastAsia" w:cstheme="majorBidi"/>
      <w:color w:val="2F5597" w:themeColor="accent1" w:themeShade="BF"/>
      <w:sz w:val="48"/>
      <w:szCs w:val="48"/>
    </w:rPr>
  </w:style>
  <w:style w:type="character" w:customStyle="1" w:styleId="20">
    <w:name w:val="标题 2 字符"/>
    <w:basedOn w:val="17"/>
    <w:link w:val="3"/>
    <w:semiHidden/>
    <w:qFormat/>
    <w:uiPriority w:val="9"/>
    <w:rPr>
      <w:rFonts w:asciiTheme="majorHAnsi" w:hAnsiTheme="majorHAnsi" w:eastAsiaTheme="majorEastAsia" w:cstheme="majorBidi"/>
      <w:color w:val="2F5597" w:themeColor="accent1" w:themeShade="BF"/>
      <w:sz w:val="40"/>
      <w:szCs w:val="40"/>
    </w:rPr>
  </w:style>
  <w:style w:type="character" w:customStyle="1" w:styleId="21">
    <w:name w:val="标题 3 字符"/>
    <w:basedOn w:val="17"/>
    <w:link w:val="4"/>
    <w:semiHidden/>
    <w:qFormat/>
    <w:uiPriority w:val="9"/>
    <w:rPr>
      <w:rFonts w:asciiTheme="majorHAnsi" w:hAnsiTheme="majorHAnsi" w:eastAsiaTheme="majorEastAsia" w:cstheme="majorBidi"/>
      <w:color w:val="2F5597" w:themeColor="accent1" w:themeShade="BF"/>
      <w:sz w:val="32"/>
      <w:szCs w:val="32"/>
    </w:rPr>
  </w:style>
  <w:style w:type="character" w:customStyle="1" w:styleId="22">
    <w:name w:val="标题 4 字符"/>
    <w:basedOn w:val="17"/>
    <w:link w:val="5"/>
    <w:semiHidden/>
    <w:qFormat/>
    <w:uiPriority w:val="9"/>
    <w:rPr>
      <w:rFonts w:cstheme="majorBidi"/>
      <w:color w:val="2F5597" w:themeColor="accent1" w:themeShade="BF"/>
      <w:sz w:val="28"/>
      <w:szCs w:val="28"/>
    </w:rPr>
  </w:style>
  <w:style w:type="character" w:customStyle="1" w:styleId="23">
    <w:name w:val="标题 5 字符"/>
    <w:basedOn w:val="17"/>
    <w:link w:val="6"/>
    <w:semiHidden/>
    <w:qFormat/>
    <w:uiPriority w:val="9"/>
    <w:rPr>
      <w:rFonts w:cstheme="majorBidi"/>
      <w:color w:val="2F5597" w:themeColor="accent1" w:themeShade="BF"/>
      <w:sz w:val="24"/>
      <w:szCs w:val="24"/>
    </w:rPr>
  </w:style>
  <w:style w:type="character" w:customStyle="1" w:styleId="24">
    <w:name w:val="标题 6 字符"/>
    <w:basedOn w:val="17"/>
    <w:link w:val="7"/>
    <w:semiHidden/>
    <w:qFormat/>
    <w:uiPriority w:val="9"/>
    <w:rPr>
      <w:rFonts w:cstheme="majorBidi"/>
      <w:b/>
      <w:bCs/>
      <w:color w:val="2F5597" w:themeColor="accent1" w:themeShade="BF"/>
    </w:rPr>
  </w:style>
  <w:style w:type="character" w:customStyle="1" w:styleId="25">
    <w:name w:val="标题 7 字符"/>
    <w:basedOn w:val="17"/>
    <w:link w:val="8"/>
    <w:semiHidden/>
    <w:qFormat/>
    <w:uiPriority w:val="9"/>
    <w:rPr>
      <w:rFonts w:cstheme="majorBidi"/>
      <w:b/>
      <w:bCs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customStyle="1" w:styleId="26">
    <w:name w:val="标题 8 字符"/>
    <w:basedOn w:val="17"/>
    <w:link w:val="9"/>
    <w:semiHidden/>
    <w:qFormat/>
    <w:uiPriority w:val="9"/>
    <w:rPr>
      <w:rFonts w:cstheme="majorBidi"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customStyle="1" w:styleId="27">
    <w:name w:val="标题 9 字符"/>
    <w:basedOn w:val="17"/>
    <w:link w:val="10"/>
    <w:semiHidden/>
    <w:qFormat/>
    <w:uiPriority w:val="9"/>
    <w:rPr>
      <w:rFonts w:eastAsiaTheme="majorEastAsia" w:cstheme="majorBidi"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customStyle="1" w:styleId="28">
    <w:name w:val="标题 字符"/>
    <w:basedOn w:val="17"/>
    <w:link w:val="15"/>
    <w:qFormat/>
    <w:uiPriority w:val="10"/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character" w:customStyle="1" w:styleId="29">
    <w:name w:val="副标题 字符"/>
    <w:basedOn w:val="17"/>
    <w:link w:val="13"/>
    <w:qFormat/>
    <w:uiPriority w:val="11"/>
    <w:rPr>
      <w:rFonts w:asciiTheme="majorHAnsi" w:hAnsiTheme="majorHAnsi" w:eastAsiaTheme="majorEastAsia" w:cstheme="majorBidi"/>
      <w:color w:val="595959" w:themeColor="text1" w:themeTint="A6"/>
      <w:spacing w:val="15"/>
      <w:sz w:val="28"/>
      <w:szCs w:val="28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30">
    <w:name w:val="Quote"/>
    <w:basedOn w:val="1"/>
    <w:next w:val="1"/>
    <w:link w:val="31"/>
    <w:qFormat/>
    <w:uiPriority w:val="29"/>
    <w:pPr>
      <w:spacing w:before="160" w:after="160"/>
      <w:jc w:val="center"/>
    </w:pPr>
    <w:rPr>
      <w:i/>
      <w:iCs/>
      <w:color w:val="404040" w:themeColor="text1" w:themeTint="BF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character" w:customStyle="1" w:styleId="31">
    <w:name w:val="引用 字符"/>
    <w:basedOn w:val="17"/>
    <w:link w:val="30"/>
    <w:qFormat/>
    <w:uiPriority w:val="29"/>
    <w:rPr>
      <w:i/>
      <w:iCs/>
      <w:color w:val="404040" w:themeColor="text1" w:themeTint="BF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paragraph" w:styleId="32">
    <w:name w:val="List Paragraph"/>
    <w:basedOn w:val="1"/>
    <w:qFormat/>
    <w:uiPriority w:val="34"/>
    <w:pPr>
      <w:ind w:left="720"/>
      <w:contextualSpacing/>
    </w:pPr>
  </w:style>
  <w:style w:type="character" w:customStyle="1" w:styleId="33">
    <w:name w:val="Intense Emphasis"/>
    <w:basedOn w:val="17"/>
    <w:qFormat/>
    <w:uiPriority w:val="21"/>
    <w:rPr>
      <w:i/>
      <w:iCs/>
      <w:color w:val="2F5597" w:themeColor="accent1" w:themeShade="BF"/>
    </w:rPr>
  </w:style>
  <w:style w:type="paragraph" w:styleId="34">
    <w:name w:val="Intense Quote"/>
    <w:basedOn w:val="1"/>
    <w:next w:val="1"/>
    <w:link w:val="35"/>
    <w:qFormat/>
    <w:uiPriority w:val="30"/>
    <w:pPr>
      <w:pBdr>
        <w:top w:val="single" w:color="2F5496" w:themeColor="accent1" w:themeShade="BF" w:sz="4" w:space="10"/>
        <w:bottom w:val="single" w:color="2F5496" w:themeColor="accent1" w:themeShade="BF" w:sz="4" w:space="10"/>
      </w:pBdr>
      <w:spacing w:before="360" w:after="360"/>
      <w:ind w:left="864" w:right="864"/>
      <w:jc w:val="center"/>
    </w:pPr>
    <w:rPr>
      <w:i/>
      <w:iCs/>
      <w:color w:val="2F5597" w:themeColor="accent1" w:themeShade="BF"/>
    </w:rPr>
  </w:style>
  <w:style w:type="character" w:customStyle="1" w:styleId="35">
    <w:name w:val="明显引用 字符"/>
    <w:basedOn w:val="17"/>
    <w:link w:val="34"/>
    <w:qFormat/>
    <w:uiPriority w:val="30"/>
    <w:rPr>
      <w:i/>
      <w:iCs/>
      <w:color w:val="2F5597" w:themeColor="accent1" w:themeShade="BF"/>
    </w:rPr>
  </w:style>
  <w:style w:type="character" w:customStyle="1" w:styleId="36">
    <w:name w:val="Intense Reference"/>
    <w:basedOn w:val="17"/>
    <w:qFormat/>
    <w:uiPriority w:val="32"/>
    <w:rPr>
      <w:b/>
      <w:bCs/>
      <w:smallCaps/>
      <w:color w:val="2F5597" w:themeColor="accent1" w:themeShade="BF"/>
      <w:spacing w:val="5"/>
    </w:rPr>
  </w:style>
  <w:style w:type="character" w:customStyle="1" w:styleId="37">
    <w:name w:val="页眉 字符"/>
    <w:basedOn w:val="17"/>
    <w:link w:val="12"/>
    <w:qFormat/>
    <w:uiPriority w:val="99"/>
    <w:rPr>
      <w:sz w:val="18"/>
      <w:szCs w:val="18"/>
    </w:rPr>
  </w:style>
  <w:style w:type="character" w:customStyle="1" w:styleId="38">
    <w:name w:val="页脚 字符"/>
    <w:basedOn w:val="17"/>
    <w:link w:val="11"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5</Pages>
  <Words>4219</Words>
  <Characters>4291</Characters>
  <Lines>10</Lines>
  <Paragraphs>99</Paragraphs>
  <TotalTime>3</TotalTime>
  <ScaleCrop>false</ScaleCrop>
  <LinksUpToDate>false</LinksUpToDate>
  <CharactersWithSpaces>4341</CharactersWithSpaces>
  <Application>WPS Office_12.1.0.18276_F1E327BC-269C-435d-A152-05C5408002CA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2025-06-18T00:47:00Z</dcterms:created>
  <dc:creator>ZUO SCAU</dc:creator>
  <cp:lastModifiedBy>Lenovo</cp:lastModifiedBy>
  <dcterms:modified xsi:type="dcterms:W3CDTF">2025-06-19T07:22:41Z</dcterms:modified>
  <cp:revision>29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2052-12.1.0.18276</vt:lpwstr>
  </property>
  <property fmtid="{D5CDD505-2E9C-101B-9397-08002B2CF9AE}" pid="3" name="ICV">
    <vt:lpwstr>64550916B10248828D6330EDC7B54710_13</vt:lpwstr>
  </property>
</Properties>
</file>